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2C15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66D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Obrazloženje Općeg dijela </w:t>
      </w:r>
      <w:r w:rsidR="006F6DFC">
        <w:rPr>
          <w:rFonts w:ascii="Times New Roman" w:eastAsia="Calibri" w:hAnsi="Times New Roman" w:cs="Times New Roman"/>
          <w:b/>
          <w:sz w:val="32"/>
          <w:szCs w:val="32"/>
        </w:rPr>
        <w:t xml:space="preserve">rebalansa </w:t>
      </w:r>
      <w:r w:rsidR="000873C9">
        <w:rPr>
          <w:rFonts w:ascii="Times New Roman" w:eastAsia="Calibri" w:hAnsi="Times New Roman" w:cs="Times New Roman"/>
          <w:b/>
          <w:sz w:val="32"/>
          <w:szCs w:val="32"/>
        </w:rPr>
        <w:t>f</w:t>
      </w:r>
      <w:bookmarkStart w:id="0" w:name="_GoBack"/>
      <w:bookmarkEnd w:id="0"/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inancijskog plana </w:t>
      </w:r>
    </w:p>
    <w:p w:rsidR="00614C12" w:rsidRPr="001A5B94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5B94">
        <w:rPr>
          <w:rFonts w:ascii="Times New Roman" w:eastAsia="Calibri" w:hAnsi="Times New Roman" w:cs="Times New Roman"/>
          <w:b/>
          <w:sz w:val="32"/>
          <w:szCs w:val="32"/>
        </w:rPr>
        <w:t>za  2023. godin</w:t>
      </w:r>
      <w:r w:rsidR="006F6DFC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p w:rsidR="00E35379" w:rsidRDefault="00E3537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A6013C" w:rsidRDefault="00A60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za 2023. godinu planirani su u iznosu </w:t>
      </w:r>
      <w:r w:rsidR="00B4366D">
        <w:rPr>
          <w:rFonts w:ascii="Times New Roman" w:hAnsi="Times New Roman" w:cs="Times New Roman"/>
          <w:sz w:val="24"/>
          <w:szCs w:val="24"/>
        </w:rPr>
        <w:t>6.</w:t>
      </w:r>
      <w:r w:rsidR="005112B6">
        <w:rPr>
          <w:rFonts w:ascii="Times New Roman" w:hAnsi="Times New Roman" w:cs="Times New Roman"/>
          <w:sz w:val="24"/>
          <w:szCs w:val="24"/>
        </w:rPr>
        <w:t>30</w:t>
      </w:r>
      <w:r w:rsidR="00B3429F">
        <w:rPr>
          <w:rFonts w:ascii="Times New Roman" w:hAnsi="Times New Roman" w:cs="Times New Roman"/>
          <w:sz w:val="24"/>
          <w:szCs w:val="24"/>
        </w:rPr>
        <w:t>1</w:t>
      </w:r>
      <w:r w:rsidR="005112B6">
        <w:rPr>
          <w:rFonts w:ascii="Times New Roman" w:hAnsi="Times New Roman" w:cs="Times New Roman"/>
          <w:sz w:val="24"/>
          <w:szCs w:val="24"/>
        </w:rPr>
        <w:t>.</w:t>
      </w:r>
      <w:r w:rsidR="00B3429F">
        <w:rPr>
          <w:rFonts w:ascii="Times New Roman" w:hAnsi="Times New Roman" w:cs="Times New Roman"/>
          <w:sz w:val="24"/>
          <w:szCs w:val="24"/>
        </w:rPr>
        <w:t>398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6013C" w:rsidRDefault="00A60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2023. godini planirano je ostvarenje </w:t>
      </w:r>
      <w:r w:rsidR="005112B6">
        <w:rPr>
          <w:rFonts w:ascii="Times New Roman" w:hAnsi="Times New Roman" w:cs="Times New Roman"/>
          <w:sz w:val="24"/>
          <w:szCs w:val="24"/>
        </w:rPr>
        <w:t>3.7</w:t>
      </w:r>
      <w:r w:rsidR="00B3429F">
        <w:rPr>
          <w:rFonts w:ascii="Times New Roman" w:hAnsi="Times New Roman" w:cs="Times New Roman"/>
          <w:sz w:val="24"/>
          <w:szCs w:val="24"/>
        </w:rPr>
        <w:t>58.066</w:t>
      </w:r>
      <w:r>
        <w:rPr>
          <w:rFonts w:ascii="Times New Roman" w:hAnsi="Times New Roman" w:cs="Times New Roman"/>
          <w:sz w:val="24"/>
          <w:szCs w:val="24"/>
        </w:rPr>
        <w:t xml:space="preserve"> EUR iz izvora Opći prihodi i primici, </w:t>
      </w:r>
      <w:r w:rsidR="005112B6">
        <w:rPr>
          <w:rFonts w:ascii="Times New Roman" w:hAnsi="Times New Roman" w:cs="Times New Roman"/>
          <w:sz w:val="24"/>
          <w:szCs w:val="24"/>
        </w:rPr>
        <w:t>19.147</w:t>
      </w:r>
      <w:r>
        <w:rPr>
          <w:rFonts w:ascii="Times New Roman" w:hAnsi="Times New Roman" w:cs="Times New Roman"/>
          <w:sz w:val="24"/>
          <w:szCs w:val="24"/>
        </w:rPr>
        <w:t xml:space="preserve"> EUR iz izvora nacionalno sufinanciranje,  </w:t>
      </w:r>
      <w:r w:rsidR="005112B6">
        <w:rPr>
          <w:rFonts w:ascii="Times New Roman" w:hAnsi="Times New Roman" w:cs="Times New Roman"/>
          <w:sz w:val="24"/>
          <w:szCs w:val="24"/>
        </w:rPr>
        <w:t>901.100</w:t>
      </w:r>
      <w:r>
        <w:rPr>
          <w:rFonts w:ascii="Times New Roman" w:hAnsi="Times New Roman" w:cs="Times New Roman"/>
          <w:sz w:val="24"/>
          <w:szCs w:val="24"/>
        </w:rPr>
        <w:t xml:space="preserve"> EUR iz izvora vlastitih prihoda, </w:t>
      </w:r>
      <w:r w:rsidR="005112B6">
        <w:rPr>
          <w:rFonts w:ascii="Times New Roman" w:hAnsi="Times New Roman" w:cs="Times New Roman"/>
          <w:sz w:val="24"/>
          <w:szCs w:val="24"/>
        </w:rPr>
        <w:t>705.400</w:t>
      </w:r>
      <w:r>
        <w:rPr>
          <w:rFonts w:ascii="Times New Roman" w:hAnsi="Times New Roman" w:cs="Times New Roman"/>
          <w:sz w:val="24"/>
          <w:szCs w:val="24"/>
        </w:rPr>
        <w:t xml:space="preserve"> EUR iz izvora Ostalih prihoda za posebne namjene, </w:t>
      </w:r>
      <w:r w:rsidR="005112B6">
        <w:rPr>
          <w:rFonts w:ascii="Times New Roman" w:hAnsi="Times New Roman" w:cs="Times New Roman"/>
          <w:sz w:val="24"/>
          <w:szCs w:val="24"/>
        </w:rPr>
        <w:t>600.000</w:t>
      </w:r>
      <w:r>
        <w:rPr>
          <w:rFonts w:ascii="Times New Roman" w:hAnsi="Times New Roman" w:cs="Times New Roman"/>
          <w:sz w:val="24"/>
          <w:szCs w:val="24"/>
        </w:rPr>
        <w:t xml:space="preserve"> EUR iz izvora Pomoći EU, </w:t>
      </w:r>
      <w:r w:rsidR="005112B6">
        <w:rPr>
          <w:rFonts w:ascii="Times New Roman" w:hAnsi="Times New Roman" w:cs="Times New Roman"/>
          <w:sz w:val="24"/>
          <w:szCs w:val="24"/>
        </w:rPr>
        <w:t>142.966</w:t>
      </w:r>
      <w:r>
        <w:rPr>
          <w:rFonts w:ascii="Times New Roman" w:hAnsi="Times New Roman" w:cs="Times New Roman"/>
          <w:sz w:val="24"/>
          <w:szCs w:val="24"/>
        </w:rPr>
        <w:t xml:space="preserve"> EUR iz izvora Ostale pomoći i darovnice, </w:t>
      </w:r>
      <w:r w:rsidR="005112B6">
        <w:rPr>
          <w:rFonts w:ascii="Times New Roman" w:hAnsi="Times New Roman" w:cs="Times New Roman"/>
          <w:sz w:val="24"/>
          <w:szCs w:val="24"/>
        </w:rPr>
        <w:t>108.497</w:t>
      </w:r>
      <w:r>
        <w:rPr>
          <w:rFonts w:ascii="Times New Roman" w:hAnsi="Times New Roman" w:cs="Times New Roman"/>
          <w:sz w:val="24"/>
          <w:szCs w:val="24"/>
        </w:rPr>
        <w:t xml:space="preserve"> EUR iz izvora Pomoći EU – ESF, </w:t>
      </w:r>
      <w:r w:rsidR="005112B6">
        <w:rPr>
          <w:rFonts w:ascii="Times New Roman" w:hAnsi="Times New Roman" w:cs="Times New Roman"/>
          <w:sz w:val="24"/>
          <w:szCs w:val="24"/>
        </w:rPr>
        <w:t>65.500</w:t>
      </w:r>
      <w:r>
        <w:rPr>
          <w:rFonts w:ascii="Times New Roman" w:hAnsi="Times New Roman" w:cs="Times New Roman"/>
          <w:sz w:val="24"/>
          <w:szCs w:val="24"/>
        </w:rPr>
        <w:t xml:space="preserve"> EUR iz izvora donacije i 7</w:t>
      </w:r>
      <w:r w:rsidR="005112B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EUR iz izvora Prodaje ili zamjene nefinancijske imovine. 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DB145C" w:rsidRDefault="00DB145C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2023. godinu planirani su u iznosu </w:t>
      </w:r>
      <w:r w:rsidR="00596C4B">
        <w:rPr>
          <w:rFonts w:ascii="Times New Roman" w:hAnsi="Times New Roman" w:cs="Times New Roman"/>
          <w:sz w:val="24"/>
          <w:szCs w:val="24"/>
        </w:rPr>
        <w:t>6.</w:t>
      </w:r>
      <w:r w:rsidR="005112B6">
        <w:rPr>
          <w:rFonts w:ascii="Times New Roman" w:hAnsi="Times New Roman" w:cs="Times New Roman"/>
          <w:sz w:val="24"/>
          <w:szCs w:val="24"/>
        </w:rPr>
        <w:t>4</w:t>
      </w:r>
      <w:r w:rsidR="00881730">
        <w:rPr>
          <w:rFonts w:ascii="Times New Roman" w:hAnsi="Times New Roman" w:cs="Times New Roman"/>
          <w:sz w:val="24"/>
          <w:szCs w:val="24"/>
        </w:rPr>
        <w:t>20</w:t>
      </w:r>
      <w:r w:rsidR="005112B6">
        <w:rPr>
          <w:rFonts w:ascii="Times New Roman" w:hAnsi="Times New Roman" w:cs="Times New Roman"/>
          <w:sz w:val="24"/>
          <w:szCs w:val="24"/>
        </w:rPr>
        <w:t>.263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112B6">
        <w:rPr>
          <w:rFonts w:ascii="Times New Roman" w:hAnsi="Times New Roman" w:cs="Times New Roman"/>
          <w:sz w:val="24"/>
          <w:szCs w:val="24"/>
        </w:rPr>
        <w:t>.</w:t>
      </w:r>
    </w:p>
    <w:p w:rsidR="00DB145C" w:rsidRDefault="00DB145C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rashodi odnose na rashode za zaposlene koji u 2023. godini iznose </w:t>
      </w:r>
      <w:r w:rsidR="00596C4B">
        <w:rPr>
          <w:rFonts w:ascii="Times New Roman" w:hAnsi="Times New Roman" w:cs="Times New Roman"/>
          <w:sz w:val="24"/>
          <w:szCs w:val="24"/>
        </w:rPr>
        <w:t>4.</w:t>
      </w:r>
      <w:r w:rsidR="005112B6">
        <w:rPr>
          <w:rFonts w:ascii="Times New Roman" w:hAnsi="Times New Roman" w:cs="Times New Roman"/>
          <w:sz w:val="24"/>
          <w:szCs w:val="24"/>
        </w:rPr>
        <w:t>515.541</w:t>
      </w:r>
      <w:r>
        <w:rPr>
          <w:rFonts w:ascii="Times New Roman" w:hAnsi="Times New Roman" w:cs="Times New Roman"/>
          <w:sz w:val="24"/>
          <w:szCs w:val="24"/>
        </w:rPr>
        <w:t xml:space="preserve"> EUR, te rashode za usluge u iznosu </w:t>
      </w:r>
      <w:r w:rsidR="00596C4B">
        <w:rPr>
          <w:rFonts w:ascii="Times New Roman" w:hAnsi="Times New Roman" w:cs="Times New Roman"/>
          <w:sz w:val="24"/>
          <w:szCs w:val="24"/>
        </w:rPr>
        <w:t>1.</w:t>
      </w:r>
      <w:r w:rsidR="005112B6">
        <w:rPr>
          <w:rFonts w:ascii="Times New Roman" w:hAnsi="Times New Roman" w:cs="Times New Roman"/>
          <w:sz w:val="24"/>
          <w:szCs w:val="24"/>
        </w:rPr>
        <w:t>48</w:t>
      </w:r>
      <w:r w:rsidR="00881730">
        <w:rPr>
          <w:rFonts w:ascii="Times New Roman" w:hAnsi="Times New Roman" w:cs="Times New Roman"/>
          <w:sz w:val="24"/>
          <w:szCs w:val="24"/>
        </w:rPr>
        <w:t>7</w:t>
      </w:r>
      <w:r w:rsidR="005112B6">
        <w:rPr>
          <w:rFonts w:ascii="Times New Roman" w:hAnsi="Times New Roman" w:cs="Times New Roman"/>
          <w:sz w:val="24"/>
          <w:szCs w:val="24"/>
        </w:rPr>
        <w:t>.468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DB145C" w:rsidRDefault="00DB145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sljedeću godinu</w:t>
      </w:r>
      <w:r w:rsidR="00B4366D">
        <w:rPr>
          <w:rFonts w:ascii="Times New Roman" w:hAnsi="Times New Roman" w:cs="Times New Roman"/>
          <w:sz w:val="24"/>
          <w:szCs w:val="24"/>
        </w:rPr>
        <w:t>, po izvorima</w:t>
      </w:r>
      <w:r>
        <w:rPr>
          <w:rFonts w:ascii="Times New Roman" w:hAnsi="Times New Roman" w:cs="Times New Roman"/>
          <w:sz w:val="24"/>
          <w:szCs w:val="24"/>
        </w:rPr>
        <w:t xml:space="preserve"> u izgleda kako slijedi:</w:t>
      </w:r>
    </w:p>
    <w:tbl>
      <w:tblPr>
        <w:tblStyle w:val="Reetkatablice"/>
        <w:tblW w:w="9214" w:type="dxa"/>
        <w:tblInd w:w="-5" w:type="dxa"/>
        <w:tblLook w:val="04A0" w:firstRow="1" w:lastRow="0" w:firstColumn="1" w:lastColumn="0" w:noHBand="0" w:noVBand="1"/>
      </w:tblPr>
      <w:tblGrid>
        <w:gridCol w:w="740"/>
        <w:gridCol w:w="833"/>
        <w:gridCol w:w="732"/>
        <w:gridCol w:w="953"/>
        <w:gridCol w:w="1005"/>
        <w:gridCol w:w="1100"/>
        <w:gridCol w:w="844"/>
        <w:gridCol w:w="954"/>
        <w:gridCol w:w="1037"/>
        <w:gridCol w:w="1016"/>
      </w:tblGrid>
      <w:tr w:rsidR="00057E25" w:rsidTr="005112B6">
        <w:tc>
          <w:tcPr>
            <w:tcW w:w="725" w:type="dxa"/>
            <w:vMerge w:val="restart"/>
          </w:tcPr>
          <w:p w:rsidR="00057E25" w:rsidRDefault="00057E2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9" w:type="dxa"/>
            <w:gridSpan w:val="9"/>
          </w:tcPr>
          <w:p w:rsidR="00057E25" w:rsidRPr="0041694B" w:rsidRDefault="00057E25" w:rsidP="0041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4B"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7E25" w:rsidTr="005112B6">
        <w:tc>
          <w:tcPr>
            <w:tcW w:w="725" w:type="dxa"/>
            <w:vMerge/>
          </w:tcPr>
          <w:p w:rsidR="00057E25" w:rsidRDefault="00057E2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7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3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5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6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040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6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057E25" w:rsidRPr="00057E25" w:rsidTr="005112B6">
        <w:tc>
          <w:tcPr>
            <w:tcW w:w="725" w:type="dxa"/>
          </w:tcPr>
          <w:p w:rsidR="00057E25" w:rsidRPr="00057E25" w:rsidRDefault="00057E25" w:rsidP="0005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E25">
              <w:rPr>
                <w:rFonts w:ascii="Times New Roman" w:hAnsi="Times New Roman" w:cs="Times New Roman"/>
                <w:sz w:val="20"/>
                <w:szCs w:val="20"/>
              </w:rPr>
              <w:t>Donos</w:t>
            </w:r>
          </w:p>
        </w:tc>
        <w:tc>
          <w:tcPr>
            <w:tcW w:w="835" w:type="dxa"/>
          </w:tcPr>
          <w:p w:rsidR="00057E25" w:rsidRPr="00057E25" w:rsidRDefault="006F6DFC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6.329</w:t>
            </w:r>
          </w:p>
        </w:tc>
        <w:tc>
          <w:tcPr>
            <w:tcW w:w="733" w:type="dxa"/>
          </w:tcPr>
          <w:p w:rsidR="00057E25" w:rsidRPr="00057E25" w:rsidRDefault="00057E2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339.167</w:t>
            </w:r>
          </w:p>
        </w:tc>
        <w:tc>
          <w:tcPr>
            <w:tcW w:w="1007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164.850</w:t>
            </w:r>
          </w:p>
        </w:tc>
        <w:tc>
          <w:tcPr>
            <w:tcW w:w="1103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790.259</w:t>
            </w:r>
          </w:p>
        </w:tc>
        <w:tc>
          <w:tcPr>
            <w:tcW w:w="845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43.068</w:t>
            </w:r>
          </w:p>
        </w:tc>
        <w:tc>
          <w:tcPr>
            <w:tcW w:w="956" w:type="dxa"/>
          </w:tcPr>
          <w:p w:rsidR="00057E25" w:rsidRPr="00057E25" w:rsidRDefault="00057E2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50.485</w:t>
            </w:r>
          </w:p>
        </w:tc>
        <w:tc>
          <w:tcPr>
            <w:tcW w:w="1016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1.394.175</w:t>
            </w:r>
          </w:p>
        </w:tc>
      </w:tr>
      <w:tr w:rsidR="00057E25" w:rsidRPr="00057E25" w:rsidTr="005112B6">
        <w:tc>
          <w:tcPr>
            <w:tcW w:w="725" w:type="dxa"/>
          </w:tcPr>
          <w:p w:rsidR="00057E25" w:rsidRPr="00057E25" w:rsidRDefault="00057E25" w:rsidP="00416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1396918"/>
            <w:r w:rsidRPr="00057E25">
              <w:rPr>
                <w:rFonts w:ascii="Times New Roman" w:hAnsi="Times New Roman" w:cs="Times New Roman"/>
                <w:sz w:val="20"/>
                <w:szCs w:val="20"/>
              </w:rPr>
              <w:t>Odnos</w:t>
            </w:r>
          </w:p>
        </w:tc>
        <w:tc>
          <w:tcPr>
            <w:tcW w:w="835" w:type="dxa"/>
          </w:tcPr>
          <w:p w:rsidR="00057E25" w:rsidRPr="00057E25" w:rsidRDefault="006F6DFC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8.318</w:t>
            </w:r>
          </w:p>
        </w:tc>
        <w:tc>
          <w:tcPr>
            <w:tcW w:w="733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4.902</w:t>
            </w:r>
          </w:p>
        </w:tc>
        <w:tc>
          <w:tcPr>
            <w:tcW w:w="954" w:type="dxa"/>
          </w:tcPr>
          <w:p w:rsidR="00057E25" w:rsidRPr="00057E25" w:rsidRDefault="002F73B5" w:rsidP="002F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7692">
              <w:rPr>
                <w:rFonts w:ascii="Times New Roman" w:hAnsi="Times New Roman" w:cs="Times New Roman"/>
                <w:sz w:val="20"/>
                <w:szCs w:val="20"/>
              </w:rPr>
              <w:t>55.577</w:t>
            </w:r>
          </w:p>
        </w:tc>
        <w:tc>
          <w:tcPr>
            <w:tcW w:w="1007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70.168</w:t>
            </w:r>
          </w:p>
        </w:tc>
        <w:tc>
          <w:tcPr>
            <w:tcW w:w="1103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D3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.991</w:t>
            </w:r>
          </w:p>
        </w:tc>
        <w:tc>
          <w:tcPr>
            <w:tcW w:w="845" w:type="dxa"/>
          </w:tcPr>
          <w:p w:rsidR="00057E25" w:rsidRPr="00057E25" w:rsidRDefault="00057E2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27.780</w:t>
            </w:r>
          </w:p>
        </w:tc>
        <w:tc>
          <w:tcPr>
            <w:tcW w:w="1040" w:type="dxa"/>
          </w:tcPr>
          <w:p w:rsidR="00057E25" w:rsidRPr="00057E25" w:rsidRDefault="002F73B5" w:rsidP="002F73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95.398</w:t>
            </w:r>
          </w:p>
        </w:tc>
        <w:tc>
          <w:tcPr>
            <w:tcW w:w="1016" w:type="dxa"/>
          </w:tcPr>
          <w:p w:rsidR="00057E25" w:rsidRPr="00057E25" w:rsidRDefault="002F73B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12B6">
              <w:rPr>
                <w:rFonts w:ascii="Times New Roman" w:hAnsi="Times New Roman" w:cs="Times New Roman"/>
                <w:sz w:val="20"/>
                <w:szCs w:val="20"/>
              </w:rPr>
              <w:t>285.134</w:t>
            </w:r>
          </w:p>
        </w:tc>
      </w:tr>
      <w:bookmarkEnd w:id="1"/>
    </w:tbl>
    <w:p w:rsidR="00DB145C" w:rsidRPr="00057E25" w:rsidRDefault="00DB145C" w:rsidP="00624C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94B" w:rsidRDefault="008E69E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višegodišnjeg razdoblja Pomorski fakultet Rijeka </w:t>
      </w:r>
      <w:r w:rsidR="00E57115">
        <w:rPr>
          <w:rFonts w:ascii="Times New Roman" w:hAnsi="Times New Roman" w:cs="Times New Roman"/>
          <w:sz w:val="24"/>
          <w:szCs w:val="24"/>
        </w:rPr>
        <w:t>značajno ulaže</w:t>
      </w:r>
      <w:r>
        <w:rPr>
          <w:rFonts w:ascii="Times New Roman" w:hAnsi="Times New Roman" w:cs="Times New Roman"/>
          <w:sz w:val="24"/>
          <w:szCs w:val="24"/>
        </w:rPr>
        <w:t xml:space="preserve"> u nabavu kapitalne opreme kao i obnovu postojećeg prostora</w:t>
      </w:r>
      <w:r w:rsidR="00E5711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u svrhu osiguranja boljih uvjeta za održavanje nastave i </w:t>
      </w:r>
      <w:r w:rsidR="00E57115">
        <w:rPr>
          <w:rFonts w:ascii="Times New Roman" w:hAnsi="Times New Roman" w:cs="Times New Roman"/>
          <w:sz w:val="24"/>
          <w:szCs w:val="24"/>
        </w:rPr>
        <w:t xml:space="preserve">studentske </w:t>
      </w:r>
      <w:r>
        <w:rPr>
          <w:rFonts w:ascii="Times New Roman" w:hAnsi="Times New Roman" w:cs="Times New Roman"/>
          <w:sz w:val="24"/>
          <w:szCs w:val="24"/>
        </w:rPr>
        <w:t xml:space="preserve">prakse. U skladu s tim, sredstva iz prethodnih godina koja se najvećim dijelom odnose na sredstva školarina, kao i sredstva koja Fakultet ostvari na tržištu </w:t>
      </w:r>
      <w:r w:rsidR="00E57115">
        <w:rPr>
          <w:rFonts w:ascii="Times New Roman" w:hAnsi="Times New Roman" w:cs="Times New Roman"/>
          <w:sz w:val="24"/>
          <w:szCs w:val="24"/>
        </w:rPr>
        <w:t xml:space="preserve">troše </w:t>
      </w:r>
      <w:r w:rsidR="00B4366D">
        <w:rPr>
          <w:rFonts w:ascii="Times New Roman" w:hAnsi="Times New Roman" w:cs="Times New Roman"/>
          <w:sz w:val="24"/>
          <w:szCs w:val="24"/>
        </w:rPr>
        <w:t xml:space="preserve">se </w:t>
      </w:r>
      <w:r w:rsidR="00E57115">
        <w:rPr>
          <w:rFonts w:ascii="Times New Roman" w:hAnsi="Times New Roman" w:cs="Times New Roman"/>
          <w:sz w:val="24"/>
          <w:szCs w:val="24"/>
        </w:rPr>
        <w:t>u skladu s mogućnostima i trenutnim kapacitetima.</w:t>
      </w: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Default="00FB536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186B7B">
        <w:rPr>
          <w:rFonts w:ascii="Times New Roman" w:hAnsi="Times New Roman" w:cs="Times New Roman"/>
          <w:sz w:val="24"/>
          <w:szCs w:val="24"/>
        </w:rPr>
        <w:t>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izgleda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6F6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6F6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6F6DFC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577.678</w:t>
            </w:r>
          </w:p>
        </w:tc>
        <w:tc>
          <w:tcPr>
            <w:tcW w:w="3680" w:type="dxa"/>
          </w:tcPr>
          <w:p w:rsidR="009D7CA0" w:rsidRDefault="006F6DFC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366.567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6F6DFC" w:rsidP="006F6D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35.061</w:t>
            </w:r>
          </w:p>
        </w:tc>
        <w:tc>
          <w:tcPr>
            <w:tcW w:w="3680" w:type="dxa"/>
          </w:tcPr>
          <w:p w:rsidR="009D7CA0" w:rsidRDefault="009D7CA0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1918" w:rsidRDefault="00951918" w:rsidP="00951918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Rijeci, </w:t>
      </w:r>
      <w:r w:rsidR="006F6D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406D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6F6D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Dekanica:</w:t>
      </w:r>
    </w:p>
    <w:p w:rsidR="00951918" w:rsidRPr="00F471E7" w:rsidRDefault="00951918" w:rsidP="005112B6">
      <w:pPr>
        <w:spacing w:before="120"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Ana Perić Hadžić</w:t>
      </w:r>
    </w:p>
    <w:sectPr w:rsidR="00951918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ADC"/>
    <w:rsid w:val="00057E25"/>
    <w:rsid w:val="000873C9"/>
    <w:rsid w:val="000A1A2E"/>
    <w:rsid w:val="000D0A1C"/>
    <w:rsid w:val="00143083"/>
    <w:rsid w:val="00186B7B"/>
    <w:rsid w:val="00245B1D"/>
    <w:rsid w:val="0029735D"/>
    <w:rsid w:val="00297F7A"/>
    <w:rsid w:val="002C15E8"/>
    <w:rsid w:val="002D339A"/>
    <w:rsid w:val="002F73B5"/>
    <w:rsid w:val="003A22DB"/>
    <w:rsid w:val="00407290"/>
    <w:rsid w:val="0041694B"/>
    <w:rsid w:val="00466878"/>
    <w:rsid w:val="00467692"/>
    <w:rsid w:val="004A406D"/>
    <w:rsid w:val="005112B6"/>
    <w:rsid w:val="005722A3"/>
    <w:rsid w:val="00596C4B"/>
    <w:rsid w:val="00597B1C"/>
    <w:rsid w:val="005C1418"/>
    <w:rsid w:val="00605080"/>
    <w:rsid w:val="00614C12"/>
    <w:rsid w:val="00624C16"/>
    <w:rsid w:val="006F6DFC"/>
    <w:rsid w:val="0072334A"/>
    <w:rsid w:val="00881730"/>
    <w:rsid w:val="00886D68"/>
    <w:rsid w:val="008E69EE"/>
    <w:rsid w:val="0094274B"/>
    <w:rsid w:val="00951918"/>
    <w:rsid w:val="00975BA7"/>
    <w:rsid w:val="009D7CA0"/>
    <w:rsid w:val="00A6013C"/>
    <w:rsid w:val="00AC288F"/>
    <w:rsid w:val="00AE2812"/>
    <w:rsid w:val="00B3429F"/>
    <w:rsid w:val="00B4366D"/>
    <w:rsid w:val="00B7793B"/>
    <w:rsid w:val="00BF44C6"/>
    <w:rsid w:val="00CA12E2"/>
    <w:rsid w:val="00D019AB"/>
    <w:rsid w:val="00D47A20"/>
    <w:rsid w:val="00DB145C"/>
    <w:rsid w:val="00DD2586"/>
    <w:rsid w:val="00DF778D"/>
    <w:rsid w:val="00E34EA9"/>
    <w:rsid w:val="00E35379"/>
    <w:rsid w:val="00E57115"/>
    <w:rsid w:val="00E74D93"/>
    <w:rsid w:val="00EC7143"/>
    <w:rsid w:val="00F471E7"/>
    <w:rsid w:val="00F70550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B37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3</cp:revision>
  <cp:lastPrinted>2022-11-09T08:08:00Z</cp:lastPrinted>
  <dcterms:created xsi:type="dcterms:W3CDTF">2023-12-06T14:24:00Z</dcterms:created>
  <dcterms:modified xsi:type="dcterms:W3CDTF">2023-12-07T11:42:00Z</dcterms:modified>
</cp:coreProperties>
</file>