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4A0" w:firstRow="1" w:lastRow="0" w:firstColumn="1" w:lastColumn="0" w:noHBand="0" w:noVBand="1"/>
      </w:tblPr>
      <w:tblGrid>
        <w:gridCol w:w="2254"/>
        <w:gridCol w:w="6746"/>
      </w:tblGrid>
      <w:tr w:rsidR="00105561" w14:paraId="66F5B372" w14:textId="77777777">
        <w:tblPrEx>
          <w:tblCellMar>
            <w:top w:w="0" w:type="dxa"/>
            <w:bottom w:w="0" w:type="dxa"/>
          </w:tblCellMar>
        </w:tblPrEx>
        <w:trPr>
          <w:tblCellSpacing w:w="60" w:type="dxa"/>
        </w:trPr>
        <w:tc>
          <w:tcPr>
            <w:tcW w:w="1200" w:type="pct"/>
            <w:shd w:val="clear" w:color="auto" w:fill="E7F0F9"/>
          </w:tcPr>
          <w:p w14:paraId="6270932B" w14:textId="77777777" w:rsidR="00105561" w:rsidRDefault="00000000">
            <w:pPr>
              <w:spacing w:after="0" w:line="240" w:lineRule="auto"/>
            </w:pPr>
            <w:r>
              <w:rPr>
                <w:b/>
              </w:rPr>
              <w:t>RKP broj</w:t>
            </w:r>
          </w:p>
        </w:tc>
        <w:tc>
          <w:tcPr>
            <w:tcW w:w="0" w:type="auto"/>
            <w:shd w:val="clear" w:color="auto" w:fill="E7F0F9"/>
          </w:tcPr>
          <w:p w14:paraId="13CAD262" w14:textId="77777777" w:rsidR="00105561" w:rsidRDefault="00000000">
            <w:pPr>
              <w:spacing w:after="0" w:line="240" w:lineRule="auto"/>
            </w:pPr>
            <w:r>
              <w:t>22568</w:t>
            </w:r>
          </w:p>
        </w:tc>
      </w:tr>
      <w:tr w:rsidR="00105561" w14:paraId="7803DE5F" w14:textId="77777777">
        <w:tblPrEx>
          <w:tblCellMar>
            <w:top w:w="0" w:type="dxa"/>
            <w:bottom w:w="0" w:type="dxa"/>
          </w:tblCellMar>
        </w:tblPrEx>
        <w:trPr>
          <w:tblCellSpacing w:w="60" w:type="dxa"/>
        </w:trPr>
        <w:tc>
          <w:tcPr>
            <w:tcW w:w="1200" w:type="pct"/>
            <w:shd w:val="clear" w:color="auto" w:fill="E7F0F9"/>
          </w:tcPr>
          <w:p w14:paraId="7AF1FEF1" w14:textId="77777777" w:rsidR="00105561" w:rsidRDefault="00000000">
            <w:pPr>
              <w:spacing w:after="0" w:line="240" w:lineRule="auto"/>
            </w:pPr>
            <w:r>
              <w:rPr>
                <w:b/>
              </w:rPr>
              <w:t>Naziv obveznika</w:t>
            </w:r>
          </w:p>
        </w:tc>
        <w:tc>
          <w:tcPr>
            <w:tcW w:w="0" w:type="auto"/>
            <w:shd w:val="clear" w:color="auto" w:fill="E7F0F9"/>
          </w:tcPr>
          <w:p w14:paraId="30CE5E49" w14:textId="77777777" w:rsidR="00105561" w:rsidRDefault="00000000">
            <w:pPr>
              <w:spacing w:after="0" w:line="240" w:lineRule="auto"/>
            </w:pPr>
            <w:r>
              <w:t>SVEUČILIŠTE U RIJECI, POMORSKI FAKULTET</w:t>
            </w:r>
          </w:p>
        </w:tc>
      </w:tr>
      <w:tr w:rsidR="00105561" w14:paraId="16575C7A" w14:textId="77777777">
        <w:tblPrEx>
          <w:tblCellMar>
            <w:top w:w="0" w:type="dxa"/>
            <w:bottom w:w="0" w:type="dxa"/>
          </w:tblCellMar>
        </w:tblPrEx>
        <w:trPr>
          <w:tblCellSpacing w:w="60" w:type="dxa"/>
        </w:trPr>
        <w:tc>
          <w:tcPr>
            <w:tcW w:w="1200" w:type="pct"/>
            <w:shd w:val="clear" w:color="auto" w:fill="E7F0F9"/>
          </w:tcPr>
          <w:p w14:paraId="4776EA22" w14:textId="77777777" w:rsidR="00105561" w:rsidRDefault="00000000">
            <w:pPr>
              <w:spacing w:after="0" w:line="240" w:lineRule="auto"/>
            </w:pPr>
            <w:r>
              <w:rPr>
                <w:b/>
              </w:rPr>
              <w:t>Razina</w:t>
            </w:r>
          </w:p>
        </w:tc>
        <w:tc>
          <w:tcPr>
            <w:tcW w:w="0" w:type="auto"/>
            <w:shd w:val="clear" w:color="auto" w:fill="E7F0F9"/>
          </w:tcPr>
          <w:p w14:paraId="3800EB80" w14:textId="77777777" w:rsidR="00105561" w:rsidRDefault="00000000">
            <w:pPr>
              <w:spacing w:after="0" w:line="240" w:lineRule="auto"/>
            </w:pPr>
            <w:r>
              <w:t>11</w:t>
            </w:r>
          </w:p>
        </w:tc>
      </w:tr>
    </w:tbl>
    <w:p w14:paraId="30837908" w14:textId="77777777" w:rsidR="00105561" w:rsidRDefault="00000000">
      <w:r>
        <w:br/>
      </w:r>
    </w:p>
    <w:p w14:paraId="3EC6F109" w14:textId="77777777" w:rsidR="00105561" w:rsidRDefault="00000000">
      <w:pPr>
        <w:spacing w:line="240" w:lineRule="auto"/>
        <w:jc w:val="center"/>
      </w:pPr>
      <w:r>
        <w:rPr>
          <w:b/>
          <w:sz w:val="28"/>
        </w:rPr>
        <w:t>BILJEŠKE UZ FINANCIJSKE IZVJEŠTAJE</w:t>
      </w:r>
    </w:p>
    <w:p w14:paraId="7119CAE5" w14:textId="77777777" w:rsidR="00105561" w:rsidRDefault="00000000">
      <w:pPr>
        <w:spacing w:line="240" w:lineRule="auto"/>
        <w:jc w:val="center"/>
      </w:pPr>
      <w:r>
        <w:rPr>
          <w:b/>
          <w:sz w:val="28"/>
        </w:rPr>
        <w:t>ZA RAZDOBLJE</w:t>
      </w:r>
    </w:p>
    <w:p w14:paraId="0589B13A" w14:textId="77777777" w:rsidR="00105561" w:rsidRDefault="00000000">
      <w:pPr>
        <w:spacing w:line="240" w:lineRule="auto"/>
        <w:jc w:val="center"/>
      </w:pPr>
      <w:r>
        <w:rPr>
          <w:b/>
          <w:sz w:val="28"/>
        </w:rPr>
        <w:t>I - XII 2025.</w:t>
      </w:r>
    </w:p>
    <w:p w14:paraId="0E609F44" w14:textId="77777777" w:rsidR="00105561" w:rsidRDefault="00105561"/>
    <w:p w14:paraId="2BCAB917" w14:textId="77777777" w:rsidR="00105561" w:rsidRDefault="00000000">
      <w:pPr>
        <w:keepNext/>
        <w:spacing w:line="240" w:lineRule="auto"/>
        <w:jc w:val="center"/>
      </w:pPr>
      <w:r>
        <w:rPr>
          <w:b/>
          <w:sz w:val="28"/>
        </w:rPr>
        <w:t>Izvještaj o prihodima i rashodima, primicima i izdacima</w:t>
      </w:r>
    </w:p>
    <w:p w14:paraId="1B2B627A" w14:textId="77777777" w:rsidR="00105561" w:rsidRDefault="00000000">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05561" w14:paraId="6545420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A6DA1DB" w14:textId="77777777" w:rsidR="00105561"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AE74FF7" w14:textId="77777777" w:rsidR="00105561"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6F35E71" w14:textId="77777777" w:rsidR="00105561"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17AF93B" w14:textId="77777777" w:rsidR="00105561"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5B820A8" w14:textId="77777777" w:rsidR="00105561"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3C986CE" w14:textId="77777777" w:rsidR="00105561" w:rsidRDefault="00000000">
            <w:pPr>
              <w:keepNext/>
              <w:keepLines/>
              <w:spacing w:after="0" w:line="240" w:lineRule="auto"/>
              <w:jc w:val="center"/>
            </w:pPr>
            <w:r>
              <w:rPr>
                <w:b/>
                <w:sz w:val="18"/>
              </w:rPr>
              <w:t>Indeks (%)</w:t>
            </w:r>
          </w:p>
        </w:tc>
      </w:tr>
      <w:tr w:rsidR="00105561" w14:paraId="2F75472B" w14:textId="77777777">
        <w:tblPrEx>
          <w:tblCellMar>
            <w:top w:w="0" w:type="dxa"/>
            <w:bottom w:w="0" w:type="dxa"/>
          </w:tblCellMar>
        </w:tblPrEx>
        <w:trPr>
          <w:cantSplit/>
          <w:trHeight w:val="560"/>
        </w:trPr>
        <w:tc>
          <w:tcPr>
            <w:tcW w:w="700" w:type="dxa"/>
            <w:tcMar>
              <w:top w:w="0" w:type="dxa"/>
              <w:bottom w:w="0" w:type="dxa"/>
            </w:tcMar>
            <w:vAlign w:val="center"/>
          </w:tcPr>
          <w:p w14:paraId="2D032BC3" w14:textId="77777777" w:rsidR="00105561" w:rsidRDefault="00000000">
            <w:pPr>
              <w:keepNext/>
              <w:keepLines/>
              <w:spacing w:after="0" w:line="240" w:lineRule="auto"/>
            </w:pPr>
            <w:r>
              <w:rPr>
                <w:sz w:val="18"/>
              </w:rPr>
              <w:t>6</w:t>
            </w:r>
          </w:p>
        </w:tc>
        <w:tc>
          <w:tcPr>
            <w:tcW w:w="3180" w:type="dxa"/>
            <w:tcMar>
              <w:top w:w="0" w:type="dxa"/>
              <w:bottom w:w="0" w:type="dxa"/>
            </w:tcMar>
            <w:vAlign w:val="center"/>
          </w:tcPr>
          <w:p w14:paraId="6DB29F2B" w14:textId="77777777" w:rsidR="00105561" w:rsidRDefault="00000000">
            <w:pPr>
              <w:keepNext/>
              <w:keepLines/>
              <w:spacing w:after="0" w:line="240" w:lineRule="auto"/>
            </w:pPr>
            <w:r>
              <w:rPr>
                <w:sz w:val="18"/>
              </w:rPr>
              <w:t>PRIHODI POSLOVANJA (šifre 61+62+63+64+65+66+67+68)</w:t>
            </w:r>
          </w:p>
        </w:tc>
        <w:tc>
          <w:tcPr>
            <w:tcW w:w="700" w:type="dxa"/>
            <w:tcMar>
              <w:top w:w="0" w:type="dxa"/>
              <w:bottom w:w="0" w:type="dxa"/>
            </w:tcMar>
            <w:vAlign w:val="center"/>
          </w:tcPr>
          <w:p w14:paraId="789131D3" w14:textId="77777777" w:rsidR="00105561" w:rsidRDefault="00000000">
            <w:pPr>
              <w:keepNext/>
              <w:keepLines/>
              <w:spacing w:after="0" w:line="240" w:lineRule="auto"/>
            </w:pPr>
            <w:r>
              <w:rPr>
                <w:sz w:val="18"/>
              </w:rPr>
              <w:t>6</w:t>
            </w:r>
          </w:p>
        </w:tc>
        <w:tc>
          <w:tcPr>
            <w:tcW w:w="1860" w:type="dxa"/>
            <w:tcMar>
              <w:top w:w="0" w:type="dxa"/>
              <w:bottom w:w="0" w:type="dxa"/>
            </w:tcMar>
            <w:vAlign w:val="center"/>
          </w:tcPr>
          <w:p w14:paraId="75315992" w14:textId="77777777" w:rsidR="00105561" w:rsidRDefault="00000000">
            <w:pPr>
              <w:keepNext/>
              <w:keepLines/>
              <w:spacing w:after="0" w:line="240" w:lineRule="auto"/>
              <w:jc w:val="right"/>
            </w:pPr>
            <w:r>
              <w:rPr>
                <w:sz w:val="18"/>
              </w:rPr>
              <w:t>6.739.797,84</w:t>
            </w:r>
          </w:p>
        </w:tc>
        <w:tc>
          <w:tcPr>
            <w:tcW w:w="1860" w:type="dxa"/>
            <w:tcMar>
              <w:top w:w="0" w:type="dxa"/>
              <w:bottom w:w="0" w:type="dxa"/>
            </w:tcMar>
            <w:vAlign w:val="center"/>
          </w:tcPr>
          <w:p w14:paraId="014621DD" w14:textId="77777777" w:rsidR="00105561" w:rsidRDefault="00000000">
            <w:pPr>
              <w:keepNext/>
              <w:keepLines/>
              <w:spacing w:after="0" w:line="240" w:lineRule="auto"/>
              <w:jc w:val="right"/>
            </w:pPr>
            <w:r>
              <w:rPr>
                <w:sz w:val="18"/>
              </w:rPr>
              <w:t>8.033.489,33</w:t>
            </w:r>
          </w:p>
        </w:tc>
        <w:tc>
          <w:tcPr>
            <w:tcW w:w="700" w:type="dxa"/>
            <w:tcMar>
              <w:top w:w="0" w:type="dxa"/>
              <w:bottom w:w="0" w:type="dxa"/>
            </w:tcMar>
            <w:vAlign w:val="center"/>
          </w:tcPr>
          <w:p w14:paraId="7A8DDD72" w14:textId="77777777" w:rsidR="00105561" w:rsidRDefault="00000000">
            <w:pPr>
              <w:keepNext/>
              <w:keepLines/>
              <w:spacing w:after="0" w:line="240" w:lineRule="auto"/>
              <w:jc w:val="right"/>
            </w:pPr>
            <w:r>
              <w:rPr>
                <w:sz w:val="18"/>
              </w:rPr>
              <w:t>119,2</w:t>
            </w:r>
          </w:p>
        </w:tc>
      </w:tr>
      <w:tr w:rsidR="00105561" w14:paraId="5817BD17" w14:textId="77777777">
        <w:tblPrEx>
          <w:tblCellMar>
            <w:top w:w="0" w:type="dxa"/>
            <w:bottom w:w="0" w:type="dxa"/>
          </w:tblCellMar>
        </w:tblPrEx>
        <w:trPr>
          <w:cantSplit/>
          <w:trHeight w:val="560"/>
        </w:trPr>
        <w:tc>
          <w:tcPr>
            <w:tcW w:w="700" w:type="dxa"/>
            <w:tcMar>
              <w:top w:w="0" w:type="dxa"/>
              <w:bottom w:w="0" w:type="dxa"/>
            </w:tcMar>
            <w:vAlign w:val="center"/>
          </w:tcPr>
          <w:p w14:paraId="4137F917" w14:textId="77777777" w:rsidR="00105561" w:rsidRDefault="00000000">
            <w:pPr>
              <w:keepNext/>
              <w:keepLines/>
              <w:spacing w:after="0" w:line="240" w:lineRule="auto"/>
            </w:pPr>
            <w:r>
              <w:rPr>
                <w:sz w:val="18"/>
              </w:rPr>
              <w:t>3</w:t>
            </w:r>
          </w:p>
        </w:tc>
        <w:tc>
          <w:tcPr>
            <w:tcW w:w="3180" w:type="dxa"/>
            <w:tcMar>
              <w:top w:w="0" w:type="dxa"/>
              <w:bottom w:w="0" w:type="dxa"/>
            </w:tcMar>
            <w:vAlign w:val="center"/>
          </w:tcPr>
          <w:p w14:paraId="1B5BB13D" w14:textId="77777777" w:rsidR="00105561" w:rsidRDefault="00000000">
            <w:pPr>
              <w:keepNext/>
              <w:keepLines/>
              <w:spacing w:after="0" w:line="240" w:lineRule="auto"/>
            </w:pPr>
            <w:r>
              <w:rPr>
                <w:sz w:val="18"/>
              </w:rPr>
              <w:t>RASHODI POSLOVANJA (šifre 31+32+34+35+36+37+38)</w:t>
            </w:r>
          </w:p>
        </w:tc>
        <w:tc>
          <w:tcPr>
            <w:tcW w:w="700" w:type="dxa"/>
            <w:tcMar>
              <w:top w:w="0" w:type="dxa"/>
              <w:bottom w:w="0" w:type="dxa"/>
            </w:tcMar>
            <w:vAlign w:val="center"/>
          </w:tcPr>
          <w:p w14:paraId="27AB2862" w14:textId="77777777" w:rsidR="00105561" w:rsidRDefault="00000000">
            <w:pPr>
              <w:keepNext/>
              <w:keepLines/>
              <w:spacing w:after="0" w:line="240" w:lineRule="auto"/>
            </w:pPr>
            <w:r>
              <w:rPr>
                <w:sz w:val="18"/>
              </w:rPr>
              <w:t>3</w:t>
            </w:r>
          </w:p>
        </w:tc>
        <w:tc>
          <w:tcPr>
            <w:tcW w:w="1860" w:type="dxa"/>
            <w:tcMar>
              <w:top w:w="0" w:type="dxa"/>
              <w:bottom w:w="0" w:type="dxa"/>
            </w:tcMar>
            <w:vAlign w:val="center"/>
          </w:tcPr>
          <w:p w14:paraId="6C390C6B" w14:textId="77777777" w:rsidR="00105561" w:rsidRDefault="00000000">
            <w:pPr>
              <w:keepNext/>
              <w:keepLines/>
              <w:spacing w:after="0" w:line="240" w:lineRule="auto"/>
              <w:jc w:val="right"/>
            </w:pPr>
            <w:r>
              <w:rPr>
                <w:sz w:val="18"/>
              </w:rPr>
              <w:t>6.864.652,02</w:t>
            </w:r>
          </w:p>
        </w:tc>
        <w:tc>
          <w:tcPr>
            <w:tcW w:w="1860" w:type="dxa"/>
            <w:tcMar>
              <w:top w:w="0" w:type="dxa"/>
              <w:bottom w:w="0" w:type="dxa"/>
            </w:tcMar>
            <w:vAlign w:val="center"/>
          </w:tcPr>
          <w:p w14:paraId="639E5663" w14:textId="77777777" w:rsidR="00105561" w:rsidRDefault="00000000">
            <w:pPr>
              <w:keepNext/>
              <w:keepLines/>
              <w:spacing w:after="0" w:line="240" w:lineRule="auto"/>
              <w:jc w:val="right"/>
            </w:pPr>
            <w:r>
              <w:rPr>
                <w:sz w:val="18"/>
              </w:rPr>
              <w:t>8.229.407,14</w:t>
            </w:r>
          </w:p>
        </w:tc>
        <w:tc>
          <w:tcPr>
            <w:tcW w:w="700" w:type="dxa"/>
            <w:tcMar>
              <w:top w:w="0" w:type="dxa"/>
              <w:bottom w:w="0" w:type="dxa"/>
            </w:tcMar>
            <w:vAlign w:val="center"/>
          </w:tcPr>
          <w:p w14:paraId="4C64F4FF" w14:textId="77777777" w:rsidR="00105561" w:rsidRDefault="00000000">
            <w:pPr>
              <w:keepNext/>
              <w:keepLines/>
              <w:spacing w:after="0" w:line="240" w:lineRule="auto"/>
              <w:jc w:val="right"/>
            </w:pPr>
            <w:r>
              <w:rPr>
                <w:sz w:val="18"/>
              </w:rPr>
              <w:t>119,9</w:t>
            </w:r>
          </w:p>
        </w:tc>
      </w:tr>
      <w:tr w:rsidR="00105561" w14:paraId="639E4F92" w14:textId="77777777">
        <w:tblPrEx>
          <w:tblCellMar>
            <w:top w:w="0" w:type="dxa"/>
            <w:bottom w:w="0" w:type="dxa"/>
          </w:tblCellMar>
        </w:tblPrEx>
        <w:trPr>
          <w:cantSplit/>
          <w:trHeight w:val="560"/>
        </w:trPr>
        <w:tc>
          <w:tcPr>
            <w:tcW w:w="700" w:type="dxa"/>
            <w:tcMar>
              <w:top w:w="0" w:type="dxa"/>
              <w:bottom w:w="0" w:type="dxa"/>
            </w:tcMar>
            <w:vAlign w:val="center"/>
          </w:tcPr>
          <w:p w14:paraId="21BE0F1F" w14:textId="77777777" w:rsidR="00105561" w:rsidRDefault="00105561">
            <w:pPr>
              <w:keepNext/>
              <w:keepLines/>
              <w:spacing w:after="0" w:line="240" w:lineRule="auto"/>
            </w:pPr>
          </w:p>
        </w:tc>
        <w:tc>
          <w:tcPr>
            <w:tcW w:w="3180" w:type="dxa"/>
            <w:tcMar>
              <w:top w:w="0" w:type="dxa"/>
              <w:bottom w:w="0" w:type="dxa"/>
            </w:tcMar>
            <w:vAlign w:val="center"/>
          </w:tcPr>
          <w:p w14:paraId="1356E418" w14:textId="77777777" w:rsidR="00105561" w:rsidRDefault="00000000">
            <w:pPr>
              <w:keepNext/>
              <w:keepLines/>
              <w:spacing w:after="0" w:line="240" w:lineRule="auto"/>
            </w:pPr>
            <w:r>
              <w:rPr>
                <w:b/>
                <w:sz w:val="18"/>
              </w:rPr>
              <w:t>MANJAK PRIHODA POSLOVANJA (šifre Z005-6)</w:t>
            </w:r>
          </w:p>
        </w:tc>
        <w:tc>
          <w:tcPr>
            <w:tcW w:w="700" w:type="dxa"/>
            <w:tcMar>
              <w:top w:w="0" w:type="dxa"/>
              <w:bottom w:w="0" w:type="dxa"/>
            </w:tcMar>
            <w:vAlign w:val="center"/>
          </w:tcPr>
          <w:p w14:paraId="0779194E" w14:textId="77777777" w:rsidR="00105561" w:rsidRDefault="00000000">
            <w:pPr>
              <w:keepNext/>
              <w:keepLines/>
              <w:spacing w:after="0" w:line="240" w:lineRule="auto"/>
            </w:pPr>
            <w:r>
              <w:rPr>
                <w:b/>
                <w:sz w:val="18"/>
              </w:rPr>
              <w:t>Y001</w:t>
            </w:r>
          </w:p>
        </w:tc>
        <w:tc>
          <w:tcPr>
            <w:tcW w:w="1860" w:type="dxa"/>
            <w:tcMar>
              <w:top w:w="0" w:type="dxa"/>
              <w:bottom w:w="0" w:type="dxa"/>
            </w:tcMar>
            <w:vAlign w:val="center"/>
          </w:tcPr>
          <w:p w14:paraId="4BCC7BBC" w14:textId="77777777" w:rsidR="00105561" w:rsidRDefault="00000000">
            <w:pPr>
              <w:keepNext/>
              <w:keepLines/>
              <w:spacing w:after="0" w:line="240" w:lineRule="auto"/>
              <w:jc w:val="right"/>
            </w:pPr>
            <w:r>
              <w:rPr>
                <w:b/>
                <w:sz w:val="18"/>
              </w:rPr>
              <w:t>124.854,18</w:t>
            </w:r>
          </w:p>
        </w:tc>
        <w:tc>
          <w:tcPr>
            <w:tcW w:w="1860" w:type="dxa"/>
            <w:tcMar>
              <w:top w:w="0" w:type="dxa"/>
              <w:bottom w:w="0" w:type="dxa"/>
            </w:tcMar>
            <w:vAlign w:val="center"/>
          </w:tcPr>
          <w:p w14:paraId="7EB3B030" w14:textId="77777777" w:rsidR="00105561" w:rsidRDefault="00000000">
            <w:pPr>
              <w:keepNext/>
              <w:keepLines/>
              <w:spacing w:after="0" w:line="240" w:lineRule="auto"/>
              <w:jc w:val="right"/>
            </w:pPr>
            <w:r>
              <w:rPr>
                <w:b/>
                <w:sz w:val="18"/>
              </w:rPr>
              <w:t>195.917,81</w:t>
            </w:r>
          </w:p>
        </w:tc>
        <w:tc>
          <w:tcPr>
            <w:tcW w:w="700" w:type="dxa"/>
            <w:tcMar>
              <w:top w:w="0" w:type="dxa"/>
              <w:bottom w:w="0" w:type="dxa"/>
            </w:tcMar>
            <w:vAlign w:val="center"/>
          </w:tcPr>
          <w:p w14:paraId="4E7B19EC" w14:textId="77777777" w:rsidR="00105561" w:rsidRDefault="00000000">
            <w:pPr>
              <w:keepNext/>
              <w:keepLines/>
              <w:spacing w:after="0" w:line="240" w:lineRule="auto"/>
              <w:jc w:val="right"/>
            </w:pPr>
            <w:r>
              <w:rPr>
                <w:b/>
                <w:sz w:val="18"/>
              </w:rPr>
              <w:t>156,9</w:t>
            </w:r>
          </w:p>
        </w:tc>
      </w:tr>
      <w:tr w:rsidR="00105561" w14:paraId="5CC74147" w14:textId="77777777">
        <w:tblPrEx>
          <w:tblCellMar>
            <w:top w:w="0" w:type="dxa"/>
            <w:bottom w:w="0" w:type="dxa"/>
          </w:tblCellMar>
        </w:tblPrEx>
        <w:trPr>
          <w:cantSplit/>
          <w:trHeight w:val="560"/>
        </w:trPr>
        <w:tc>
          <w:tcPr>
            <w:tcW w:w="700" w:type="dxa"/>
            <w:tcMar>
              <w:top w:w="0" w:type="dxa"/>
              <w:bottom w:w="0" w:type="dxa"/>
            </w:tcMar>
            <w:vAlign w:val="center"/>
          </w:tcPr>
          <w:p w14:paraId="4B5F6FE7" w14:textId="77777777" w:rsidR="00105561" w:rsidRDefault="00000000">
            <w:pPr>
              <w:keepNext/>
              <w:keepLines/>
              <w:spacing w:after="0" w:line="240" w:lineRule="auto"/>
            </w:pPr>
            <w:r>
              <w:rPr>
                <w:sz w:val="18"/>
              </w:rPr>
              <w:t>7</w:t>
            </w:r>
          </w:p>
        </w:tc>
        <w:tc>
          <w:tcPr>
            <w:tcW w:w="3180" w:type="dxa"/>
            <w:tcMar>
              <w:top w:w="0" w:type="dxa"/>
              <w:bottom w:w="0" w:type="dxa"/>
            </w:tcMar>
            <w:vAlign w:val="center"/>
          </w:tcPr>
          <w:p w14:paraId="2754BEEC" w14:textId="77777777" w:rsidR="00105561" w:rsidRDefault="00000000">
            <w:pPr>
              <w:keepNext/>
              <w:keepLines/>
              <w:spacing w:after="0" w:line="240" w:lineRule="auto"/>
            </w:pPr>
            <w:r>
              <w:rPr>
                <w:sz w:val="18"/>
              </w:rPr>
              <w:t>Prihodi od prodaje nefinancijske imovine (šifre 71+72+73+74)</w:t>
            </w:r>
          </w:p>
        </w:tc>
        <w:tc>
          <w:tcPr>
            <w:tcW w:w="700" w:type="dxa"/>
            <w:tcMar>
              <w:top w:w="0" w:type="dxa"/>
              <w:bottom w:w="0" w:type="dxa"/>
            </w:tcMar>
            <w:vAlign w:val="center"/>
          </w:tcPr>
          <w:p w14:paraId="792D1A94" w14:textId="77777777" w:rsidR="00105561" w:rsidRDefault="00000000">
            <w:pPr>
              <w:keepNext/>
              <w:keepLines/>
              <w:spacing w:after="0" w:line="240" w:lineRule="auto"/>
            </w:pPr>
            <w:r>
              <w:rPr>
                <w:sz w:val="18"/>
              </w:rPr>
              <w:t>7</w:t>
            </w:r>
          </w:p>
        </w:tc>
        <w:tc>
          <w:tcPr>
            <w:tcW w:w="1860" w:type="dxa"/>
            <w:tcMar>
              <w:top w:w="0" w:type="dxa"/>
              <w:bottom w:w="0" w:type="dxa"/>
            </w:tcMar>
            <w:vAlign w:val="center"/>
          </w:tcPr>
          <w:p w14:paraId="52619E78" w14:textId="77777777" w:rsidR="00105561" w:rsidRDefault="00000000">
            <w:pPr>
              <w:keepNext/>
              <w:keepLines/>
              <w:spacing w:after="0" w:line="240" w:lineRule="auto"/>
              <w:jc w:val="right"/>
            </w:pPr>
            <w:r>
              <w:rPr>
                <w:sz w:val="18"/>
              </w:rPr>
              <w:t>1.431,46</w:t>
            </w:r>
          </w:p>
        </w:tc>
        <w:tc>
          <w:tcPr>
            <w:tcW w:w="1860" w:type="dxa"/>
            <w:tcMar>
              <w:top w:w="0" w:type="dxa"/>
              <w:bottom w:w="0" w:type="dxa"/>
            </w:tcMar>
            <w:vAlign w:val="center"/>
          </w:tcPr>
          <w:p w14:paraId="0609416E" w14:textId="77777777" w:rsidR="00105561" w:rsidRDefault="00000000">
            <w:pPr>
              <w:keepNext/>
              <w:keepLines/>
              <w:spacing w:after="0" w:line="240" w:lineRule="auto"/>
              <w:jc w:val="right"/>
            </w:pPr>
            <w:r>
              <w:rPr>
                <w:sz w:val="18"/>
              </w:rPr>
              <w:t>990,14</w:t>
            </w:r>
          </w:p>
        </w:tc>
        <w:tc>
          <w:tcPr>
            <w:tcW w:w="700" w:type="dxa"/>
            <w:tcMar>
              <w:top w:w="0" w:type="dxa"/>
              <w:bottom w:w="0" w:type="dxa"/>
            </w:tcMar>
            <w:vAlign w:val="center"/>
          </w:tcPr>
          <w:p w14:paraId="2C1FD8A7" w14:textId="77777777" w:rsidR="00105561" w:rsidRDefault="00000000">
            <w:pPr>
              <w:keepNext/>
              <w:keepLines/>
              <w:spacing w:after="0" w:line="240" w:lineRule="auto"/>
              <w:jc w:val="right"/>
            </w:pPr>
            <w:r>
              <w:rPr>
                <w:sz w:val="18"/>
              </w:rPr>
              <w:t>69,2</w:t>
            </w:r>
          </w:p>
        </w:tc>
      </w:tr>
      <w:tr w:rsidR="00105561" w14:paraId="16E591CD" w14:textId="77777777">
        <w:tblPrEx>
          <w:tblCellMar>
            <w:top w:w="0" w:type="dxa"/>
            <w:bottom w:w="0" w:type="dxa"/>
          </w:tblCellMar>
        </w:tblPrEx>
        <w:trPr>
          <w:cantSplit/>
          <w:trHeight w:val="560"/>
        </w:trPr>
        <w:tc>
          <w:tcPr>
            <w:tcW w:w="700" w:type="dxa"/>
            <w:tcMar>
              <w:top w:w="0" w:type="dxa"/>
              <w:bottom w:w="0" w:type="dxa"/>
            </w:tcMar>
            <w:vAlign w:val="center"/>
          </w:tcPr>
          <w:p w14:paraId="63202CFD" w14:textId="77777777" w:rsidR="00105561" w:rsidRDefault="00000000">
            <w:pPr>
              <w:keepNext/>
              <w:keepLines/>
              <w:spacing w:after="0" w:line="240" w:lineRule="auto"/>
            </w:pPr>
            <w:r>
              <w:rPr>
                <w:sz w:val="18"/>
              </w:rPr>
              <w:t>4</w:t>
            </w:r>
          </w:p>
        </w:tc>
        <w:tc>
          <w:tcPr>
            <w:tcW w:w="3180" w:type="dxa"/>
            <w:tcMar>
              <w:top w:w="0" w:type="dxa"/>
              <w:bottom w:w="0" w:type="dxa"/>
            </w:tcMar>
            <w:vAlign w:val="center"/>
          </w:tcPr>
          <w:p w14:paraId="646ACAD6" w14:textId="77777777" w:rsidR="00105561" w:rsidRDefault="00000000">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14:paraId="6FF46747" w14:textId="77777777" w:rsidR="00105561" w:rsidRDefault="00000000">
            <w:pPr>
              <w:keepNext/>
              <w:keepLines/>
              <w:spacing w:after="0" w:line="240" w:lineRule="auto"/>
            </w:pPr>
            <w:r>
              <w:rPr>
                <w:sz w:val="18"/>
              </w:rPr>
              <w:t>4</w:t>
            </w:r>
          </w:p>
        </w:tc>
        <w:tc>
          <w:tcPr>
            <w:tcW w:w="1860" w:type="dxa"/>
            <w:tcMar>
              <w:top w:w="0" w:type="dxa"/>
              <w:bottom w:w="0" w:type="dxa"/>
            </w:tcMar>
            <w:vAlign w:val="center"/>
          </w:tcPr>
          <w:p w14:paraId="0E2B1272" w14:textId="77777777" w:rsidR="00105561" w:rsidRDefault="00000000">
            <w:pPr>
              <w:keepNext/>
              <w:keepLines/>
              <w:spacing w:after="0" w:line="240" w:lineRule="auto"/>
              <w:jc w:val="right"/>
            </w:pPr>
            <w:r>
              <w:rPr>
                <w:sz w:val="18"/>
              </w:rPr>
              <w:t>228.189,13</w:t>
            </w:r>
          </w:p>
        </w:tc>
        <w:tc>
          <w:tcPr>
            <w:tcW w:w="1860" w:type="dxa"/>
            <w:tcMar>
              <w:top w:w="0" w:type="dxa"/>
              <w:bottom w:w="0" w:type="dxa"/>
            </w:tcMar>
            <w:vAlign w:val="center"/>
          </w:tcPr>
          <w:p w14:paraId="256F5870" w14:textId="77777777" w:rsidR="00105561" w:rsidRDefault="00000000">
            <w:pPr>
              <w:keepNext/>
              <w:keepLines/>
              <w:spacing w:after="0" w:line="240" w:lineRule="auto"/>
              <w:jc w:val="right"/>
            </w:pPr>
            <w:r>
              <w:rPr>
                <w:sz w:val="18"/>
              </w:rPr>
              <w:t>259.738,65</w:t>
            </w:r>
          </w:p>
        </w:tc>
        <w:tc>
          <w:tcPr>
            <w:tcW w:w="700" w:type="dxa"/>
            <w:tcMar>
              <w:top w:w="0" w:type="dxa"/>
              <w:bottom w:w="0" w:type="dxa"/>
            </w:tcMar>
            <w:vAlign w:val="center"/>
          </w:tcPr>
          <w:p w14:paraId="3BA07CEE" w14:textId="77777777" w:rsidR="00105561" w:rsidRDefault="00000000">
            <w:pPr>
              <w:keepNext/>
              <w:keepLines/>
              <w:spacing w:after="0" w:line="240" w:lineRule="auto"/>
              <w:jc w:val="right"/>
            </w:pPr>
            <w:r>
              <w:rPr>
                <w:sz w:val="18"/>
              </w:rPr>
              <w:t>113,8</w:t>
            </w:r>
          </w:p>
        </w:tc>
      </w:tr>
      <w:tr w:rsidR="00105561" w14:paraId="25159B73" w14:textId="77777777">
        <w:tblPrEx>
          <w:tblCellMar>
            <w:top w:w="0" w:type="dxa"/>
            <w:bottom w:w="0" w:type="dxa"/>
          </w:tblCellMar>
        </w:tblPrEx>
        <w:trPr>
          <w:cantSplit/>
          <w:trHeight w:val="560"/>
        </w:trPr>
        <w:tc>
          <w:tcPr>
            <w:tcW w:w="700" w:type="dxa"/>
            <w:tcMar>
              <w:top w:w="0" w:type="dxa"/>
              <w:bottom w:w="0" w:type="dxa"/>
            </w:tcMar>
            <w:vAlign w:val="center"/>
          </w:tcPr>
          <w:p w14:paraId="00172910" w14:textId="77777777" w:rsidR="00105561" w:rsidRDefault="00105561">
            <w:pPr>
              <w:keepNext/>
              <w:keepLines/>
              <w:spacing w:after="0" w:line="240" w:lineRule="auto"/>
            </w:pPr>
          </w:p>
        </w:tc>
        <w:tc>
          <w:tcPr>
            <w:tcW w:w="3180" w:type="dxa"/>
            <w:tcMar>
              <w:top w:w="0" w:type="dxa"/>
              <w:bottom w:w="0" w:type="dxa"/>
            </w:tcMar>
            <w:vAlign w:val="center"/>
          </w:tcPr>
          <w:p w14:paraId="138EF826" w14:textId="77777777" w:rsidR="00105561" w:rsidRDefault="00000000">
            <w:pPr>
              <w:keepNext/>
              <w:keepLines/>
              <w:spacing w:after="0" w:line="240" w:lineRule="auto"/>
            </w:pPr>
            <w:r>
              <w:rPr>
                <w:b/>
                <w:sz w:val="18"/>
              </w:rPr>
              <w:t>MANJAK PRIHODA OD NEFINANCIJSKE IMOVINE (šifre 4-7)</w:t>
            </w:r>
          </w:p>
        </w:tc>
        <w:tc>
          <w:tcPr>
            <w:tcW w:w="700" w:type="dxa"/>
            <w:tcMar>
              <w:top w:w="0" w:type="dxa"/>
              <w:bottom w:w="0" w:type="dxa"/>
            </w:tcMar>
            <w:vAlign w:val="center"/>
          </w:tcPr>
          <w:p w14:paraId="6ED27929" w14:textId="77777777" w:rsidR="00105561" w:rsidRDefault="00000000">
            <w:pPr>
              <w:keepNext/>
              <w:keepLines/>
              <w:spacing w:after="0" w:line="240" w:lineRule="auto"/>
            </w:pPr>
            <w:r>
              <w:rPr>
                <w:b/>
                <w:sz w:val="18"/>
              </w:rPr>
              <w:t>Y002</w:t>
            </w:r>
          </w:p>
        </w:tc>
        <w:tc>
          <w:tcPr>
            <w:tcW w:w="1860" w:type="dxa"/>
            <w:tcMar>
              <w:top w:w="0" w:type="dxa"/>
              <w:bottom w:w="0" w:type="dxa"/>
            </w:tcMar>
            <w:vAlign w:val="center"/>
          </w:tcPr>
          <w:p w14:paraId="1B7EF999" w14:textId="77777777" w:rsidR="00105561" w:rsidRDefault="00000000">
            <w:pPr>
              <w:keepNext/>
              <w:keepLines/>
              <w:spacing w:after="0" w:line="240" w:lineRule="auto"/>
              <w:jc w:val="right"/>
            </w:pPr>
            <w:r>
              <w:rPr>
                <w:b/>
                <w:sz w:val="18"/>
              </w:rPr>
              <w:t>226.757,67</w:t>
            </w:r>
          </w:p>
        </w:tc>
        <w:tc>
          <w:tcPr>
            <w:tcW w:w="1860" w:type="dxa"/>
            <w:tcMar>
              <w:top w:w="0" w:type="dxa"/>
              <w:bottom w:w="0" w:type="dxa"/>
            </w:tcMar>
            <w:vAlign w:val="center"/>
          </w:tcPr>
          <w:p w14:paraId="713A32FA" w14:textId="77777777" w:rsidR="00105561" w:rsidRDefault="00000000">
            <w:pPr>
              <w:keepNext/>
              <w:keepLines/>
              <w:spacing w:after="0" w:line="240" w:lineRule="auto"/>
              <w:jc w:val="right"/>
            </w:pPr>
            <w:r>
              <w:rPr>
                <w:b/>
                <w:sz w:val="18"/>
              </w:rPr>
              <w:t>258.748,51</w:t>
            </w:r>
          </w:p>
        </w:tc>
        <w:tc>
          <w:tcPr>
            <w:tcW w:w="700" w:type="dxa"/>
            <w:tcMar>
              <w:top w:w="0" w:type="dxa"/>
              <w:bottom w:w="0" w:type="dxa"/>
            </w:tcMar>
            <w:vAlign w:val="center"/>
          </w:tcPr>
          <w:p w14:paraId="60C29D33" w14:textId="77777777" w:rsidR="00105561" w:rsidRDefault="00000000">
            <w:pPr>
              <w:keepNext/>
              <w:keepLines/>
              <w:spacing w:after="0" w:line="240" w:lineRule="auto"/>
              <w:jc w:val="right"/>
            </w:pPr>
            <w:r>
              <w:rPr>
                <w:b/>
                <w:sz w:val="18"/>
              </w:rPr>
              <w:t>114,1</w:t>
            </w:r>
          </w:p>
        </w:tc>
      </w:tr>
      <w:tr w:rsidR="00105561" w14:paraId="5AE91140" w14:textId="77777777">
        <w:tblPrEx>
          <w:tblCellMar>
            <w:top w:w="0" w:type="dxa"/>
            <w:bottom w:w="0" w:type="dxa"/>
          </w:tblCellMar>
        </w:tblPrEx>
        <w:trPr>
          <w:cantSplit/>
          <w:trHeight w:val="560"/>
        </w:trPr>
        <w:tc>
          <w:tcPr>
            <w:tcW w:w="700" w:type="dxa"/>
            <w:tcMar>
              <w:top w:w="0" w:type="dxa"/>
              <w:bottom w:w="0" w:type="dxa"/>
            </w:tcMar>
            <w:vAlign w:val="center"/>
          </w:tcPr>
          <w:p w14:paraId="48F95029" w14:textId="77777777" w:rsidR="00105561" w:rsidRDefault="00000000">
            <w:pPr>
              <w:keepNext/>
              <w:keepLines/>
              <w:spacing w:after="0" w:line="240" w:lineRule="auto"/>
            </w:pPr>
            <w:r>
              <w:rPr>
                <w:sz w:val="18"/>
              </w:rPr>
              <w:t>8</w:t>
            </w:r>
          </w:p>
        </w:tc>
        <w:tc>
          <w:tcPr>
            <w:tcW w:w="3180" w:type="dxa"/>
            <w:tcMar>
              <w:top w:w="0" w:type="dxa"/>
              <w:bottom w:w="0" w:type="dxa"/>
            </w:tcMar>
            <w:vAlign w:val="center"/>
          </w:tcPr>
          <w:p w14:paraId="1F851661" w14:textId="77777777" w:rsidR="00105561" w:rsidRDefault="00000000">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14:paraId="4FB846C7" w14:textId="77777777" w:rsidR="00105561" w:rsidRDefault="00000000">
            <w:pPr>
              <w:keepNext/>
              <w:keepLines/>
              <w:spacing w:after="0" w:line="240" w:lineRule="auto"/>
            </w:pPr>
            <w:r>
              <w:rPr>
                <w:sz w:val="18"/>
              </w:rPr>
              <w:t>8</w:t>
            </w:r>
          </w:p>
        </w:tc>
        <w:tc>
          <w:tcPr>
            <w:tcW w:w="1860" w:type="dxa"/>
            <w:tcMar>
              <w:top w:w="0" w:type="dxa"/>
              <w:bottom w:w="0" w:type="dxa"/>
            </w:tcMar>
            <w:vAlign w:val="center"/>
          </w:tcPr>
          <w:p w14:paraId="6B801B54" w14:textId="77777777" w:rsidR="00105561" w:rsidRDefault="00000000">
            <w:pPr>
              <w:keepNext/>
              <w:keepLines/>
              <w:spacing w:after="0" w:line="240" w:lineRule="auto"/>
              <w:jc w:val="right"/>
            </w:pPr>
            <w:r>
              <w:rPr>
                <w:sz w:val="18"/>
              </w:rPr>
              <w:t>2.500,00</w:t>
            </w:r>
          </w:p>
        </w:tc>
        <w:tc>
          <w:tcPr>
            <w:tcW w:w="1860" w:type="dxa"/>
            <w:tcMar>
              <w:top w:w="0" w:type="dxa"/>
              <w:bottom w:w="0" w:type="dxa"/>
            </w:tcMar>
            <w:vAlign w:val="center"/>
          </w:tcPr>
          <w:p w14:paraId="2CA559F5" w14:textId="77777777" w:rsidR="00105561" w:rsidRDefault="00000000">
            <w:pPr>
              <w:keepNext/>
              <w:keepLines/>
              <w:spacing w:after="0" w:line="240" w:lineRule="auto"/>
              <w:jc w:val="right"/>
            </w:pPr>
            <w:r>
              <w:rPr>
                <w:sz w:val="18"/>
              </w:rPr>
              <w:t>2.050,00</w:t>
            </w:r>
          </w:p>
        </w:tc>
        <w:tc>
          <w:tcPr>
            <w:tcW w:w="700" w:type="dxa"/>
            <w:tcMar>
              <w:top w:w="0" w:type="dxa"/>
              <w:bottom w:w="0" w:type="dxa"/>
            </w:tcMar>
            <w:vAlign w:val="center"/>
          </w:tcPr>
          <w:p w14:paraId="5E78C9F8" w14:textId="77777777" w:rsidR="00105561" w:rsidRDefault="00000000">
            <w:pPr>
              <w:keepNext/>
              <w:keepLines/>
              <w:spacing w:after="0" w:line="240" w:lineRule="auto"/>
              <w:jc w:val="right"/>
            </w:pPr>
            <w:r>
              <w:rPr>
                <w:sz w:val="18"/>
              </w:rPr>
              <w:t>82,0</w:t>
            </w:r>
          </w:p>
        </w:tc>
      </w:tr>
      <w:tr w:rsidR="00105561" w14:paraId="031E845A" w14:textId="77777777">
        <w:tblPrEx>
          <w:tblCellMar>
            <w:top w:w="0" w:type="dxa"/>
            <w:bottom w:w="0" w:type="dxa"/>
          </w:tblCellMar>
        </w:tblPrEx>
        <w:trPr>
          <w:cantSplit/>
          <w:trHeight w:val="560"/>
        </w:trPr>
        <w:tc>
          <w:tcPr>
            <w:tcW w:w="700" w:type="dxa"/>
            <w:tcMar>
              <w:top w:w="0" w:type="dxa"/>
              <w:bottom w:w="0" w:type="dxa"/>
            </w:tcMar>
            <w:vAlign w:val="center"/>
          </w:tcPr>
          <w:p w14:paraId="3A479C24" w14:textId="77777777" w:rsidR="00105561" w:rsidRDefault="00000000">
            <w:pPr>
              <w:keepNext/>
              <w:keepLines/>
              <w:spacing w:after="0" w:line="240" w:lineRule="auto"/>
            </w:pPr>
            <w:r>
              <w:rPr>
                <w:sz w:val="18"/>
              </w:rPr>
              <w:t>5</w:t>
            </w:r>
          </w:p>
        </w:tc>
        <w:tc>
          <w:tcPr>
            <w:tcW w:w="3180" w:type="dxa"/>
            <w:tcMar>
              <w:top w:w="0" w:type="dxa"/>
              <w:bottom w:w="0" w:type="dxa"/>
            </w:tcMar>
            <w:vAlign w:val="center"/>
          </w:tcPr>
          <w:p w14:paraId="683DED63" w14:textId="77777777" w:rsidR="00105561" w:rsidRDefault="00000000">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14:paraId="2AC8E6C7" w14:textId="77777777" w:rsidR="00105561" w:rsidRDefault="00000000">
            <w:pPr>
              <w:keepNext/>
              <w:keepLines/>
              <w:spacing w:after="0" w:line="240" w:lineRule="auto"/>
            </w:pPr>
            <w:r>
              <w:rPr>
                <w:sz w:val="18"/>
              </w:rPr>
              <w:t>5</w:t>
            </w:r>
          </w:p>
        </w:tc>
        <w:tc>
          <w:tcPr>
            <w:tcW w:w="1860" w:type="dxa"/>
            <w:tcMar>
              <w:top w:w="0" w:type="dxa"/>
              <w:bottom w:w="0" w:type="dxa"/>
            </w:tcMar>
            <w:vAlign w:val="center"/>
          </w:tcPr>
          <w:p w14:paraId="784A24C6" w14:textId="77777777" w:rsidR="00105561" w:rsidRDefault="00000000">
            <w:pPr>
              <w:keepNext/>
              <w:keepLines/>
              <w:spacing w:after="0" w:line="240" w:lineRule="auto"/>
              <w:jc w:val="right"/>
            </w:pPr>
            <w:r>
              <w:rPr>
                <w:sz w:val="18"/>
              </w:rPr>
              <w:t>0,00</w:t>
            </w:r>
          </w:p>
        </w:tc>
        <w:tc>
          <w:tcPr>
            <w:tcW w:w="1860" w:type="dxa"/>
            <w:tcMar>
              <w:top w:w="0" w:type="dxa"/>
              <w:bottom w:w="0" w:type="dxa"/>
            </w:tcMar>
            <w:vAlign w:val="center"/>
          </w:tcPr>
          <w:p w14:paraId="4F71C0E1" w14:textId="77777777" w:rsidR="00105561" w:rsidRDefault="00000000">
            <w:pPr>
              <w:keepNext/>
              <w:keepLines/>
              <w:spacing w:after="0" w:line="240" w:lineRule="auto"/>
              <w:jc w:val="right"/>
            </w:pPr>
            <w:r>
              <w:rPr>
                <w:sz w:val="18"/>
              </w:rPr>
              <w:t>2.050,00</w:t>
            </w:r>
          </w:p>
        </w:tc>
        <w:tc>
          <w:tcPr>
            <w:tcW w:w="700" w:type="dxa"/>
            <w:tcMar>
              <w:top w:w="0" w:type="dxa"/>
              <w:bottom w:w="0" w:type="dxa"/>
            </w:tcMar>
            <w:vAlign w:val="center"/>
          </w:tcPr>
          <w:p w14:paraId="5A0168CE" w14:textId="77777777" w:rsidR="00105561" w:rsidRDefault="00000000">
            <w:pPr>
              <w:keepNext/>
              <w:keepLines/>
              <w:spacing w:after="0" w:line="240" w:lineRule="auto"/>
              <w:jc w:val="right"/>
            </w:pPr>
            <w:r>
              <w:rPr>
                <w:sz w:val="18"/>
              </w:rPr>
              <w:t>-</w:t>
            </w:r>
          </w:p>
        </w:tc>
      </w:tr>
      <w:tr w:rsidR="00105561" w14:paraId="61887E1C" w14:textId="77777777">
        <w:tblPrEx>
          <w:tblCellMar>
            <w:top w:w="0" w:type="dxa"/>
            <w:bottom w:w="0" w:type="dxa"/>
          </w:tblCellMar>
        </w:tblPrEx>
        <w:trPr>
          <w:cantSplit/>
          <w:trHeight w:val="560"/>
        </w:trPr>
        <w:tc>
          <w:tcPr>
            <w:tcW w:w="700" w:type="dxa"/>
            <w:tcMar>
              <w:top w:w="0" w:type="dxa"/>
              <w:bottom w:w="0" w:type="dxa"/>
            </w:tcMar>
            <w:vAlign w:val="center"/>
          </w:tcPr>
          <w:p w14:paraId="44C8182F" w14:textId="77777777" w:rsidR="00105561" w:rsidRDefault="00105561">
            <w:pPr>
              <w:keepNext/>
              <w:keepLines/>
              <w:spacing w:after="0" w:line="240" w:lineRule="auto"/>
            </w:pPr>
          </w:p>
        </w:tc>
        <w:tc>
          <w:tcPr>
            <w:tcW w:w="3180" w:type="dxa"/>
            <w:tcMar>
              <w:top w:w="0" w:type="dxa"/>
              <w:bottom w:w="0" w:type="dxa"/>
            </w:tcMar>
            <w:vAlign w:val="center"/>
          </w:tcPr>
          <w:p w14:paraId="4B54925A" w14:textId="77777777" w:rsidR="00105561" w:rsidRDefault="00000000">
            <w:pPr>
              <w:keepNext/>
              <w:keepLines/>
              <w:spacing w:after="0" w:line="240" w:lineRule="auto"/>
            </w:pPr>
            <w:r>
              <w:rPr>
                <w:b/>
                <w:sz w:val="18"/>
              </w:rPr>
              <w:t>VIŠAK/MANJAK PRIMITAKA OD FINANCIJSKE IMOVINE I ZADUŽIVANJA (šifre 8-5, 5-8)</w:t>
            </w:r>
          </w:p>
        </w:tc>
        <w:tc>
          <w:tcPr>
            <w:tcW w:w="700" w:type="dxa"/>
            <w:tcMar>
              <w:top w:w="0" w:type="dxa"/>
              <w:bottom w:w="0" w:type="dxa"/>
            </w:tcMar>
            <w:vAlign w:val="center"/>
          </w:tcPr>
          <w:p w14:paraId="067F57EC" w14:textId="77777777" w:rsidR="00105561" w:rsidRDefault="00000000">
            <w:pPr>
              <w:keepNext/>
              <w:keepLines/>
              <w:spacing w:after="0" w:line="240" w:lineRule="auto"/>
            </w:pPr>
            <w:r>
              <w:rPr>
                <w:b/>
                <w:sz w:val="18"/>
              </w:rPr>
              <w:t>X003, Y003</w:t>
            </w:r>
          </w:p>
        </w:tc>
        <w:tc>
          <w:tcPr>
            <w:tcW w:w="1860" w:type="dxa"/>
            <w:tcMar>
              <w:top w:w="0" w:type="dxa"/>
              <w:bottom w:w="0" w:type="dxa"/>
            </w:tcMar>
            <w:vAlign w:val="center"/>
          </w:tcPr>
          <w:p w14:paraId="5E5CA850" w14:textId="77777777" w:rsidR="00105561" w:rsidRDefault="00000000">
            <w:pPr>
              <w:keepNext/>
              <w:keepLines/>
              <w:spacing w:after="0" w:line="240" w:lineRule="auto"/>
              <w:jc w:val="right"/>
            </w:pPr>
            <w:r>
              <w:rPr>
                <w:b/>
                <w:sz w:val="18"/>
              </w:rPr>
              <w:t>0,00</w:t>
            </w:r>
          </w:p>
        </w:tc>
        <w:tc>
          <w:tcPr>
            <w:tcW w:w="1860" w:type="dxa"/>
            <w:tcMar>
              <w:top w:w="0" w:type="dxa"/>
              <w:bottom w:w="0" w:type="dxa"/>
            </w:tcMar>
            <w:vAlign w:val="center"/>
          </w:tcPr>
          <w:p w14:paraId="23B1EC04" w14:textId="77777777" w:rsidR="00105561" w:rsidRDefault="00000000">
            <w:pPr>
              <w:keepNext/>
              <w:keepLines/>
              <w:spacing w:after="0" w:line="240" w:lineRule="auto"/>
              <w:jc w:val="right"/>
            </w:pPr>
            <w:r>
              <w:rPr>
                <w:b/>
                <w:sz w:val="18"/>
              </w:rPr>
              <w:t>0,00</w:t>
            </w:r>
          </w:p>
        </w:tc>
        <w:tc>
          <w:tcPr>
            <w:tcW w:w="700" w:type="dxa"/>
            <w:tcMar>
              <w:top w:w="0" w:type="dxa"/>
              <w:bottom w:w="0" w:type="dxa"/>
            </w:tcMar>
            <w:vAlign w:val="center"/>
          </w:tcPr>
          <w:p w14:paraId="7BB81EF4" w14:textId="77777777" w:rsidR="00105561" w:rsidRDefault="00000000">
            <w:pPr>
              <w:keepNext/>
              <w:keepLines/>
              <w:spacing w:after="0" w:line="240" w:lineRule="auto"/>
              <w:jc w:val="right"/>
            </w:pPr>
            <w:r>
              <w:rPr>
                <w:b/>
                <w:sz w:val="18"/>
              </w:rPr>
              <w:t>-</w:t>
            </w:r>
          </w:p>
        </w:tc>
      </w:tr>
      <w:tr w:rsidR="00105561" w14:paraId="6BBF1AD0" w14:textId="77777777">
        <w:tblPrEx>
          <w:tblCellMar>
            <w:top w:w="0" w:type="dxa"/>
            <w:bottom w:w="0" w:type="dxa"/>
          </w:tblCellMar>
        </w:tblPrEx>
        <w:trPr>
          <w:cantSplit/>
          <w:trHeight w:val="560"/>
        </w:trPr>
        <w:tc>
          <w:tcPr>
            <w:tcW w:w="700" w:type="dxa"/>
            <w:tcMar>
              <w:top w:w="0" w:type="dxa"/>
              <w:bottom w:w="0" w:type="dxa"/>
            </w:tcMar>
            <w:vAlign w:val="center"/>
          </w:tcPr>
          <w:p w14:paraId="4C5AE198" w14:textId="77777777" w:rsidR="00105561" w:rsidRDefault="00105561">
            <w:pPr>
              <w:keepNext/>
              <w:keepLines/>
              <w:spacing w:after="0" w:line="240" w:lineRule="auto"/>
            </w:pPr>
          </w:p>
        </w:tc>
        <w:tc>
          <w:tcPr>
            <w:tcW w:w="3180" w:type="dxa"/>
            <w:tcMar>
              <w:top w:w="0" w:type="dxa"/>
              <w:bottom w:w="0" w:type="dxa"/>
            </w:tcMar>
            <w:vAlign w:val="center"/>
          </w:tcPr>
          <w:p w14:paraId="558D73DC" w14:textId="77777777" w:rsidR="00105561" w:rsidRDefault="00000000">
            <w:pPr>
              <w:keepNext/>
              <w:keepLines/>
              <w:spacing w:after="0" w:line="240" w:lineRule="auto"/>
            </w:pPr>
            <w:r>
              <w:rPr>
                <w:b/>
                <w:sz w:val="18"/>
              </w:rPr>
              <w:t>MANJAK PRIHODA I PRIMITAKA (šifre Y345-X678)</w:t>
            </w:r>
          </w:p>
        </w:tc>
        <w:tc>
          <w:tcPr>
            <w:tcW w:w="700" w:type="dxa"/>
            <w:tcMar>
              <w:top w:w="0" w:type="dxa"/>
              <w:bottom w:w="0" w:type="dxa"/>
            </w:tcMar>
            <w:vAlign w:val="center"/>
          </w:tcPr>
          <w:p w14:paraId="2EA2B17D" w14:textId="77777777" w:rsidR="00105561" w:rsidRDefault="00000000">
            <w:pPr>
              <w:keepNext/>
              <w:keepLines/>
              <w:spacing w:after="0" w:line="240" w:lineRule="auto"/>
            </w:pPr>
            <w:r>
              <w:rPr>
                <w:b/>
                <w:sz w:val="18"/>
              </w:rPr>
              <w:t>Y005</w:t>
            </w:r>
          </w:p>
        </w:tc>
        <w:tc>
          <w:tcPr>
            <w:tcW w:w="1860" w:type="dxa"/>
            <w:tcMar>
              <w:top w:w="0" w:type="dxa"/>
              <w:bottom w:w="0" w:type="dxa"/>
            </w:tcMar>
            <w:vAlign w:val="center"/>
          </w:tcPr>
          <w:p w14:paraId="327FD7D6" w14:textId="77777777" w:rsidR="00105561" w:rsidRDefault="00000000">
            <w:pPr>
              <w:keepNext/>
              <w:keepLines/>
              <w:spacing w:after="0" w:line="240" w:lineRule="auto"/>
              <w:jc w:val="right"/>
            </w:pPr>
            <w:r>
              <w:rPr>
                <w:b/>
                <w:sz w:val="18"/>
              </w:rPr>
              <w:t>349.111,85</w:t>
            </w:r>
          </w:p>
        </w:tc>
        <w:tc>
          <w:tcPr>
            <w:tcW w:w="1860" w:type="dxa"/>
            <w:tcMar>
              <w:top w:w="0" w:type="dxa"/>
              <w:bottom w:w="0" w:type="dxa"/>
            </w:tcMar>
            <w:vAlign w:val="center"/>
          </w:tcPr>
          <w:p w14:paraId="6D87F4E5" w14:textId="77777777" w:rsidR="00105561" w:rsidRDefault="00000000">
            <w:pPr>
              <w:keepNext/>
              <w:keepLines/>
              <w:spacing w:after="0" w:line="240" w:lineRule="auto"/>
              <w:jc w:val="right"/>
            </w:pPr>
            <w:r>
              <w:rPr>
                <w:b/>
                <w:sz w:val="18"/>
              </w:rPr>
              <w:t>454.666,32</w:t>
            </w:r>
          </w:p>
        </w:tc>
        <w:tc>
          <w:tcPr>
            <w:tcW w:w="700" w:type="dxa"/>
            <w:tcMar>
              <w:top w:w="0" w:type="dxa"/>
              <w:bottom w:w="0" w:type="dxa"/>
            </w:tcMar>
            <w:vAlign w:val="center"/>
          </w:tcPr>
          <w:p w14:paraId="13CAF253" w14:textId="77777777" w:rsidR="00105561" w:rsidRDefault="00000000">
            <w:pPr>
              <w:keepNext/>
              <w:keepLines/>
              <w:spacing w:after="0" w:line="240" w:lineRule="auto"/>
              <w:jc w:val="right"/>
            </w:pPr>
            <w:r>
              <w:rPr>
                <w:b/>
                <w:sz w:val="18"/>
              </w:rPr>
              <w:t>130,2</w:t>
            </w:r>
          </w:p>
        </w:tc>
      </w:tr>
    </w:tbl>
    <w:p w14:paraId="1D749467" w14:textId="77777777" w:rsidR="00105561" w:rsidRDefault="00105561">
      <w:pPr>
        <w:spacing w:after="0"/>
      </w:pPr>
    </w:p>
    <w:p w14:paraId="1C6DEA31" w14:textId="77777777" w:rsidR="00105561" w:rsidRDefault="00000000">
      <w:pPr>
        <w:jc w:val="both"/>
      </w:pPr>
      <w:r>
        <w:t xml:space="preserve">Ostvaren je manjak prihoda poslovanja u iznosu 195.917,81 eura. Veći rashodi poslovanja posljedica su evidentiranja 13 (trinaest) plaća za zaposlene u 2025. godini sukladno izmjenama Pravilnika o proračunskom računovodstvu i Računskom planu. Rashodi za plaće za prosinac 2025. g. nisu knjiženi na vremenska razgraničenja pa stoga neće teretiti rashode 2026. g., već su sukladno Pravilniku evidentirani u 2025. g. i iznose 378.835,05 eura . Na manjak prihoda od nefinancijske imovine utjecala je nabava računalnih programa i opreme </w:t>
      </w:r>
      <w:r>
        <w:lastRenderedPageBreak/>
        <w:t>koja se financirala bespovratnim sredstvima iz državnog proračuna, sredstvima programskih ugovora i EU sredstvima, te je obveznom korekcijom rezultata poslovanja u Bilanci vidljivo da je ovaj manjak umanjen za 201.074,06 eura i iznosi 56.674,45 eura.  </w:t>
      </w:r>
    </w:p>
    <w:p w14:paraId="3FBE2B2C" w14:textId="77777777" w:rsidR="00105561" w:rsidRDefault="00000000">
      <w:r>
        <w:br/>
      </w:r>
    </w:p>
    <w:p w14:paraId="7D8B1ADC" w14:textId="77777777" w:rsidR="00105561" w:rsidRDefault="00000000">
      <w:pPr>
        <w:keepNext/>
        <w:spacing w:line="240" w:lineRule="auto"/>
        <w:jc w:val="center"/>
      </w:pPr>
      <w:r>
        <w:rPr>
          <w:sz w:val="28"/>
        </w:rPr>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05561" w14:paraId="041D39B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C926EFE" w14:textId="77777777" w:rsidR="00105561"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8B8F6E3" w14:textId="77777777" w:rsidR="00105561"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AE462E4" w14:textId="77777777" w:rsidR="00105561"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6B2AB8E" w14:textId="77777777" w:rsidR="00105561"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F6C41A0" w14:textId="77777777" w:rsidR="00105561"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71E6534" w14:textId="77777777" w:rsidR="00105561" w:rsidRDefault="00000000">
            <w:pPr>
              <w:keepNext/>
              <w:keepLines/>
              <w:spacing w:after="0" w:line="240" w:lineRule="auto"/>
              <w:jc w:val="center"/>
            </w:pPr>
            <w:r>
              <w:rPr>
                <w:b/>
                <w:sz w:val="18"/>
              </w:rPr>
              <w:t>Indeks (%)</w:t>
            </w:r>
          </w:p>
        </w:tc>
      </w:tr>
      <w:tr w:rsidR="00105561" w14:paraId="4893F4A8" w14:textId="77777777">
        <w:tblPrEx>
          <w:tblCellMar>
            <w:top w:w="0" w:type="dxa"/>
            <w:bottom w:w="0" w:type="dxa"/>
          </w:tblCellMar>
        </w:tblPrEx>
        <w:trPr>
          <w:cantSplit/>
          <w:trHeight w:val="560"/>
        </w:trPr>
        <w:tc>
          <w:tcPr>
            <w:tcW w:w="700" w:type="dxa"/>
            <w:tcMar>
              <w:top w:w="0" w:type="dxa"/>
              <w:bottom w:w="0" w:type="dxa"/>
            </w:tcMar>
            <w:vAlign w:val="center"/>
          </w:tcPr>
          <w:p w14:paraId="703BA8F8" w14:textId="77777777" w:rsidR="00105561" w:rsidRDefault="00000000">
            <w:pPr>
              <w:keepNext/>
              <w:keepLines/>
              <w:spacing w:after="0" w:line="240" w:lineRule="auto"/>
            </w:pPr>
            <w:r>
              <w:rPr>
                <w:sz w:val="18"/>
              </w:rPr>
              <w:t>6</w:t>
            </w:r>
          </w:p>
        </w:tc>
        <w:tc>
          <w:tcPr>
            <w:tcW w:w="3180" w:type="dxa"/>
            <w:tcMar>
              <w:top w:w="0" w:type="dxa"/>
              <w:bottom w:w="0" w:type="dxa"/>
            </w:tcMar>
            <w:vAlign w:val="center"/>
          </w:tcPr>
          <w:p w14:paraId="3BCE3897" w14:textId="77777777" w:rsidR="00105561" w:rsidRDefault="00000000">
            <w:pPr>
              <w:keepNext/>
              <w:keepLines/>
              <w:spacing w:after="0" w:line="240" w:lineRule="auto"/>
            </w:pPr>
            <w:r>
              <w:rPr>
                <w:sz w:val="18"/>
              </w:rPr>
              <w:t>PRIHODI POSLOVANJA (šifre 61+62+63+64+65+66+67+68)</w:t>
            </w:r>
          </w:p>
        </w:tc>
        <w:tc>
          <w:tcPr>
            <w:tcW w:w="700" w:type="dxa"/>
            <w:tcMar>
              <w:top w:w="0" w:type="dxa"/>
              <w:bottom w:w="0" w:type="dxa"/>
            </w:tcMar>
            <w:vAlign w:val="center"/>
          </w:tcPr>
          <w:p w14:paraId="715DD47D" w14:textId="77777777" w:rsidR="00105561" w:rsidRDefault="00000000">
            <w:pPr>
              <w:keepNext/>
              <w:keepLines/>
              <w:spacing w:after="0" w:line="240" w:lineRule="auto"/>
            </w:pPr>
            <w:r>
              <w:rPr>
                <w:sz w:val="18"/>
              </w:rPr>
              <w:t>6</w:t>
            </w:r>
          </w:p>
        </w:tc>
        <w:tc>
          <w:tcPr>
            <w:tcW w:w="1860" w:type="dxa"/>
            <w:tcMar>
              <w:top w:w="0" w:type="dxa"/>
              <w:bottom w:w="0" w:type="dxa"/>
            </w:tcMar>
            <w:vAlign w:val="center"/>
          </w:tcPr>
          <w:p w14:paraId="37ADC53C" w14:textId="77777777" w:rsidR="00105561" w:rsidRDefault="00000000">
            <w:pPr>
              <w:keepNext/>
              <w:keepLines/>
              <w:spacing w:after="0" w:line="240" w:lineRule="auto"/>
              <w:jc w:val="right"/>
            </w:pPr>
            <w:r>
              <w:rPr>
                <w:sz w:val="18"/>
              </w:rPr>
              <w:t>6.739.797,84</w:t>
            </w:r>
          </w:p>
        </w:tc>
        <w:tc>
          <w:tcPr>
            <w:tcW w:w="1860" w:type="dxa"/>
            <w:tcMar>
              <w:top w:w="0" w:type="dxa"/>
              <w:bottom w:w="0" w:type="dxa"/>
            </w:tcMar>
            <w:vAlign w:val="center"/>
          </w:tcPr>
          <w:p w14:paraId="20745229" w14:textId="77777777" w:rsidR="00105561" w:rsidRDefault="00000000">
            <w:pPr>
              <w:keepNext/>
              <w:keepLines/>
              <w:spacing w:after="0" w:line="240" w:lineRule="auto"/>
              <w:jc w:val="right"/>
            </w:pPr>
            <w:r>
              <w:rPr>
                <w:sz w:val="18"/>
              </w:rPr>
              <w:t>8.033.489,33</w:t>
            </w:r>
          </w:p>
        </w:tc>
        <w:tc>
          <w:tcPr>
            <w:tcW w:w="700" w:type="dxa"/>
            <w:tcMar>
              <w:top w:w="0" w:type="dxa"/>
              <w:bottom w:w="0" w:type="dxa"/>
            </w:tcMar>
            <w:vAlign w:val="center"/>
          </w:tcPr>
          <w:p w14:paraId="2980ADB0" w14:textId="77777777" w:rsidR="00105561" w:rsidRDefault="00000000">
            <w:pPr>
              <w:keepNext/>
              <w:keepLines/>
              <w:spacing w:after="0" w:line="240" w:lineRule="auto"/>
              <w:jc w:val="right"/>
            </w:pPr>
            <w:r>
              <w:rPr>
                <w:sz w:val="18"/>
              </w:rPr>
              <w:t>119,2</w:t>
            </w:r>
          </w:p>
        </w:tc>
      </w:tr>
    </w:tbl>
    <w:p w14:paraId="6F1DA1F4" w14:textId="77777777" w:rsidR="00105561" w:rsidRDefault="00105561">
      <w:pPr>
        <w:spacing w:after="0"/>
      </w:pPr>
    </w:p>
    <w:p w14:paraId="5EDAEE12" w14:textId="77777777" w:rsidR="00105561" w:rsidRDefault="00000000">
      <w:pPr>
        <w:jc w:val="both"/>
      </w:pPr>
      <w:r>
        <w:t>Ukupni prihodi poslovanja ostvareni su u iznosu od 8.033.489,33 eura, odnosno 19,2 % više u odnosu na prošlu godinu. Na povećanje ukupnih prihoda najviše je utjecalo povećanje prihoda od pomoći temeljem EU prijenosa sredstava i povećanje prihoda iz  nadležnog proračuna za financiranje redovite djelatnosti. </w:t>
      </w:r>
    </w:p>
    <w:p w14:paraId="0FEC200E" w14:textId="77777777" w:rsidR="00105561" w:rsidRDefault="00000000">
      <w:r>
        <w:t> </w:t>
      </w:r>
    </w:p>
    <w:p w14:paraId="709661B2" w14:textId="77777777" w:rsidR="00105561" w:rsidRDefault="00105561"/>
    <w:p w14:paraId="542ED4BC" w14:textId="77777777" w:rsidR="00105561" w:rsidRDefault="00000000">
      <w:pPr>
        <w:keepNext/>
        <w:spacing w:line="240" w:lineRule="auto"/>
        <w:jc w:val="center"/>
      </w:pPr>
      <w:r>
        <w:rPr>
          <w:sz w:val="28"/>
        </w:rPr>
        <w:t>Bilješka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05561" w14:paraId="04C8025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3A41FDE" w14:textId="77777777" w:rsidR="00105561"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A674CE1" w14:textId="77777777" w:rsidR="00105561"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7FD4DA6" w14:textId="77777777" w:rsidR="00105561"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B98A115" w14:textId="77777777" w:rsidR="00105561"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968A348" w14:textId="77777777" w:rsidR="00105561"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E4CD65A" w14:textId="77777777" w:rsidR="00105561" w:rsidRDefault="00000000">
            <w:pPr>
              <w:keepNext/>
              <w:keepLines/>
              <w:spacing w:after="0" w:line="240" w:lineRule="auto"/>
              <w:jc w:val="center"/>
            </w:pPr>
            <w:r>
              <w:rPr>
                <w:b/>
                <w:sz w:val="18"/>
              </w:rPr>
              <w:t>Indeks (%)</w:t>
            </w:r>
          </w:p>
        </w:tc>
      </w:tr>
      <w:tr w:rsidR="00105561" w14:paraId="7251DF33" w14:textId="77777777">
        <w:tblPrEx>
          <w:tblCellMar>
            <w:top w:w="0" w:type="dxa"/>
            <w:bottom w:w="0" w:type="dxa"/>
          </w:tblCellMar>
        </w:tblPrEx>
        <w:trPr>
          <w:cantSplit/>
          <w:trHeight w:val="560"/>
        </w:trPr>
        <w:tc>
          <w:tcPr>
            <w:tcW w:w="700" w:type="dxa"/>
            <w:tcMar>
              <w:top w:w="0" w:type="dxa"/>
              <w:bottom w:w="0" w:type="dxa"/>
            </w:tcMar>
            <w:vAlign w:val="center"/>
          </w:tcPr>
          <w:p w14:paraId="080E1CDF" w14:textId="77777777" w:rsidR="00105561" w:rsidRDefault="00000000">
            <w:pPr>
              <w:keepNext/>
              <w:keepLines/>
              <w:spacing w:after="0" w:line="240" w:lineRule="auto"/>
            </w:pPr>
            <w:r>
              <w:rPr>
                <w:sz w:val="18"/>
              </w:rPr>
              <w:t>6311</w:t>
            </w:r>
          </w:p>
        </w:tc>
        <w:tc>
          <w:tcPr>
            <w:tcW w:w="3180" w:type="dxa"/>
            <w:tcMar>
              <w:top w:w="0" w:type="dxa"/>
              <w:bottom w:w="0" w:type="dxa"/>
            </w:tcMar>
            <w:vAlign w:val="center"/>
          </w:tcPr>
          <w:p w14:paraId="20764E03" w14:textId="77777777" w:rsidR="00105561" w:rsidRDefault="00000000">
            <w:pPr>
              <w:keepNext/>
              <w:keepLines/>
              <w:spacing w:after="0" w:line="240" w:lineRule="auto"/>
            </w:pPr>
            <w:r>
              <w:rPr>
                <w:sz w:val="18"/>
              </w:rPr>
              <w:t>Tekuće pomoći od inozemnih vlada</w:t>
            </w:r>
          </w:p>
        </w:tc>
        <w:tc>
          <w:tcPr>
            <w:tcW w:w="700" w:type="dxa"/>
            <w:tcMar>
              <w:top w:w="0" w:type="dxa"/>
              <w:bottom w:w="0" w:type="dxa"/>
            </w:tcMar>
            <w:vAlign w:val="center"/>
          </w:tcPr>
          <w:p w14:paraId="759B8900" w14:textId="77777777" w:rsidR="00105561" w:rsidRDefault="00000000">
            <w:pPr>
              <w:keepNext/>
              <w:keepLines/>
              <w:spacing w:after="0" w:line="240" w:lineRule="auto"/>
            </w:pPr>
            <w:r>
              <w:rPr>
                <w:sz w:val="18"/>
              </w:rPr>
              <w:t>6311</w:t>
            </w:r>
          </w:p>
        </w:tc>
        <w:tc>
          <w:tcPr>
            <w:tcW w:w="1860" w:type="dxa"/>
            <w:tcMar>
              <w:top w:w="0" w:type="dxa"/>
              <w:bottom w:w="0" w:type="dxa"/>
            </w:tcMar>
            <w:vAlign w:val="center"/>
          </w:tcPr>
          <w:p w14:paraId="6AE3C2E1" w14:textId="77777777" w:rsidR="00105561" w:rsidRDefault="00000000">
            <w:pPr>
              <w:keepNext/>
              <w:keepLines/>
              <w:spacing w:after="0" w:line="240" w:lineRule="auto"/>
              <w:jc w:val="right"/>
            </w:pPr>
            <w:r>
              <w:rPr>
                <w:sz w:val="18"/>
              </w:rPr>
              <w:t>0,00</w:t>
            </w:r>
          </w:p>
        </w:tc>
        <w:tc>
          <w:tcPr>
            <w:tcW w:w="1860" w:type="dxa"/>
            <w:tcMar>
              <w:top w:w="0" w:type="dxa"/>
              <w:bottom w:w="0" w:type="dxa"/>
            </w:tcMar>
            <w:vAlign w:val="center"/>
          </w:tcPr>
          <w:p w14:paraId="3EB81192" w14:textId="77777777" w:rsidR="00105561" w:rsidRDefault="00000000">
            <w:pPr>
              <w:keepNext/>
              <w:keepLines/>
              <w:spacing w:after="0" w:line="240" w:lineRule="auto"/>
              <w:jc w:val="right"/>
            </w:pPr>
            <w:r>
              <w:rPr>
                <w:sz w:val="18"/>
              </w:rPr>
              <w:t>1.216.658,00</w:t>
            </w:r>
          </w:p>
        </w:tc>
        <w:tc>
          <w:tcPr>
            <w:tcW w:w="700" w:type="dxa"/>
            <w:tcMar>
              <w:top w:w="0" w:type="dxa"/>
              <w:bottom w:w="0" w:type="dxa"/>
            </w:tcMar>
            <w:vAlign w:val="center"/>
          </w:tcPr>
          <w:p w14:paraId="3686F42B" w14:textId="77777777" w:rsidR="00105561" w:rsidRDefault="00000000">
            <w:pPr>
              <w:keepNext/>
              <w:keepLines/>
              <w:spacing w:after="0" w:line="240" w:lineRule="auto"/>
              <w:jc w:val="right"/>
            </w:pPr>
            <w:r>
              <w:rPr>
                <w:sz w:val="18"/>
              </w:rPr>
              <w:t>-</w:t>
            </w:r>
          </w:p>
        </w:tc>
      </w:tr>
    </w:tbl>
    <w:p w14:paraId="49EC8F9A" w14:textId="77777777" w:rsidR="00105561" w:rsidRDefault="00105561">
      <w:pPr>
        <w:spacing w:after="0"/>
      </w:pPr>
    </w:p>
    <w:p w14:paraId="134DEC54" w14:textId="77777777" w:rsidR="00105561" w:rsidRDefault="00000000">
      <w:pPr>
        <w:jc w:val="both"/>
      </w:pPr>
      <w:r>
        <w:t>Pomoći od inozemnih vlada ostvarene su i iznosu 1.216.658,00 eura i odnose se na sredstva ostvarena od EU projekata, a koja su primljena od inozemnih partnera – nositelja projekata. Ova je promjena napravljena temeljem upute Ministarstva financija i Okružnice o sastavljanju, načinu i predaji financijskih izvještaja za razdoblje I-XII 2025. gdje se navodi koji se prihodi trebaju evidentirati unutar podskupine 631 odnosno podskupine 632, a što je promjena u odnosu na prethodne godine kad su se ovi prihodi  evidentirali unutar podskupine 632. Prihodi ostvareni od inozemnih vlada odnose na sljedeće programe/fondove: </w:t>
      </w:r>
    </w:p>
    <w:p w14:paraId="2F6FFCC7" w14:textId="77777777" w:rsidR="00105561" w:rsidRDefault="00000000">
      <w:pPr>
        <w:jc w:val="both"/>
      </w:pPr>
      <w:r>
        <w:t>Erasmus + projekti u ukupnom iznosu od 55.184,85 eura</w:t>
      </w:r>
    </w:p>
    <w:p w14:paraId="764122D9" w14:textId="77777777" w:rsidR="00105561" w:rsidRDefault="00000000">
      <w:pPr>
        <w:jc w:val="both"/>
      </w:pPr>
      <w:r>
        <w:t>Interreg Italija – Hrvatska projekti u iznosu od 965.777,18 eura (od toga 643.234,47 eura evidentirano i kao rashod za prijenos partnerima na projektu TransH2)</w:t>
      </w:r>
    </w:p>
    <w:p w14:paraId="3BE2E6C1" w14:textId="77777777" w:rsidR="00105561" w:rsidRDefault="00000000">
      <w:pPr>
        <w:jc w:val="both"/>
      </w:pPr>
      <w:r>
        <w:t>Interreg EUROMED u iznosu od 126.951,46 eura</w:t>
      </w:r>
    </w:p>
    <w:p w14:paraId="0ABB40C6" w14:textId="77777777" w:rsidR="00105561" w:rsidRDefault="00000000">
      <w:pPr>
        <w:jc w:val="both"/>
      </w:pPr>
      <w:r>
        <w:t>Horizon Europe projekti u iznosu od 46.628,35 eura</w:t>
      </w:r>
    </w:p>
    <w:p w14:paraId="4CB0AA6B" w14:textId="77777777" w:rsidR="00105561" w:rsidRDefault="00105561"/>
    <w:p w14:paraId="3086B772" w14:textId="77777777" w:rsidR="00105561" w:rsidRDefault="00000000">
      <w:pPr>
        <w:keepNext/>
        <w:spacing w:line="240" w:lineRule="auto"/>
        <w:jc w:val="center"/>
      </w:pPr>
      <w:r>
        <w:rPr>
          <w:sz w:val="28"/>
        </w:rPr>
        <w:lastRenderedPageBreak/>
        <w:t>Bilješka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05561" w14:paraId="24FDC36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B384B75" w14:textId="77777777" w:rsidR="00105561"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9B3A66F" w14:textId="77777777" w:rsidR="00105561"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C04F5D8" w14:textId="77777777" w:rsidR="00105561"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55853AE" w14:textId="77777777" w:rsidR="00105561"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88F2FED" w14:textId="77777777" w:rsidR="00105561"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82E5848" w14:textId="77777777" w:rsidR="00105561" w:rsidRDefault="00000000">
            <w:pPr>
              <w:keepNext/>
              <w:keepLines/>
              <w:spacing w:after="0" w:line="240" w:lineRule="auto"/>
              <w:jc w:val="center"/>
            </w:pPr>
            <w:r>
              <w:rPr>
                <w:b/>
                <w:sz w:val="18"/>
              </w:rPr>
              <w:t>Indeks (%)</w:t>
            </w:r>
          </w:p>
        </w:tc>
      </w:tr>
      <w:tr w:rsidR="00105561" w14:paraId="0E388BD1" w14:textId="77777777">
        <w:tblPrEx>
          <w:tblCellMar>
            <w:top w:w="0" w:type="dxa"/>
            <w:bottom w:w="0" w:type="dxa"/>
          </w:tblCellMar>
        </w:tblPrEx>
        <w:trPr>
          <w:cantSplit/>
          <w:trHeight w:val="560"/>
        </w:trPr>
        <w:tc>
          <w:tcPr>
            <w:tcW w:w="700" w:type="dxa"/>
            <w:tcMar>
              <w:top w:w="0" w:type="dxa"/>
              <w:bottom w:w="0" w:type="dxa"/>
            </w:tcMar>
            <w:vAlign w:val="center"/>
          </w:tcPr>
          <w:p w14:paraId="363E535C" w14:textId="77777777" w:rsidR="00105561" w:rsidRDefault="00000000">
            <w:pPr>
              <w:keepNext/>
              <w:keepLines/>
              <w:spacing w:after="0" w:line="240" w:lineRule="auto"/>
            </w:pPr>
            <w:r>
              <w:rPr>
                <w:sz w:val="18"/>
              </w:rPr>
              <w:t>6312</w:t>
            </w:r>
          </w:p>
        </w:tc>
        <w:tc>
          <w:tcPr>
            <w:tcW w:w="3180" w:type="dxa"/>
            <w:tcMar>
              <w:top w:w="0" w:type="dxa"/>
              <w:bottom w:w="0" w:type="dxa"/>
            </w:tcMar>
            <w:vAlign w:val="center"/>
          </w:tcPr>
          <w:p w14:paraId="1010BD74" w14:textId="77777777" w:rsidR="00105561" w:rsidRDefault="00000000">
            <w:pPr>
              <w:keepNext/>
              <w:keepLines/>
              <w:spacing w:after="0" w:line="240" w:lineRule="auto"/>
            </w:pPr>
            <w:r>
              <w:rPr>
                <w:sz w:val="18"/>
              </w:rPr>
              <w:t>Kapitalne pomoći od inozemnih vlada</w:t>
            </w:r>
          </w:p>
        </w:tc>
        <w:tc>
          <w:tcPr>
            <w:tcW w:w="700" w:type="dxa"/>
            <w:tcMar>
              <w:top w:w="0" w:type="dxa"/>
              <w:bottom w:w="0" w:type="dxa"/>
            </w:tcMar>
            <w:vAlign w:val="center"/>
          </w:tcPr>
          <w:p w14:paraId="6D40B420" w14:textId="77777777" w:rsidR="00105561" w:rsidRDefault="00000000">
            <w:pPr>
              <w:keepNext/>
              <w:keepLines/>
              <w:spacing w:after="0" w:line="240" w:lineRule="auto"/>
            </w:pPr>
            <w:r>
              <w:rPr>
                <w:sz w:val="18"/>
              </w:rPr>
              <w:t>6312</w:t>
            </w:r>
          </w:p>
        </w:tc>
        <w:tc>
          <w:tcPr>
            <w:tcW w:w="1860" w:type="dxa"/>
            <w:tcMar>
              <w:top w:w="0" w:type="dxa"/>
              <w:bottom w:w="0" w:type="dxa"/>
            </w:tcMar>
            <w:vAlign w:val="center"/>
          </w:tcPr>
          <w:p w14:paraId="664B172D" w14:textId="77777777" w:rsidR="00105561" w:rsidRDefault="00000000">
            <w:pPr>
              <w:keepNext/>
              <w:keepLines/>
              <w:spacing w:after="0" w:line="240" w:lineRule="auto"/>
              <w:jc w:val="right"/>
            </w:pPr>
            <w:r>
              <w:rPr>
                <w:sz w:val="18"/>
              </w:rPr>
              <w:t>0,00</w:t>
            </w:r>
          </w:p>
        </w:tc>
        <w:tc>
          <w:tcPr>
            <w:tcW w:w="1860" w:type="dxa"/>
            <w:tcMar>
              <w:top w:w="0" w:type="dxa"/>
              <w:bottom w:w="0" w:type="dxa"/>
            </w:tcMar>
            <w:vAlign w:val="center"/>
          </w:tcPr>
          <w:p w14:paraId="69C4F462" w14:textId="77777777" w:rsidR="00105561" w:rsidRDefault="00000000">
            <w:pPr>
              <w:keepNext/>
              <w:keepLines/>
              <w:spacing w:after="0" w:line="240" w:lineRule="auto"/>
              <w:jc w:val="right"/>
            </w:pPr>
            <w:r>
              <w:rPr>
                <w:sz w:val="18"/>
              </w:rPr>
              <w:t>3.044,00</w:t>
            </w:r>
          </w:p>
        </w:tc>
        <w:tc>
          <w:tcPr>
            <w:tcW w:w="700" w:type="dxa"/>
            <w:tcMar>
              <w:top w:w="0" w:type="dxa"/>
              <w:bottom w:w="0" w:type="dxa"/>
            </w:tcMar>
            <w:vAlign w:val="center"/>
          </w:tcPr>
          <w:p w14:paraId="43E0480A" w14:textId="77777777" w:rsidR="00105561" w:rsidRDefault="00000000">
            <w:pPr>
              <w:keepNext/>
              <w:keepLines/>
              <w:spacing w:after="0" w:line="240" w:lineRule="auto"/>
              <w:jc w:val="right"/>
            </w:pPr>
            <w:r>
              <w:rPr>
                <w:sz w:val="18"/>
              </w:rPr>
              <w:t>-</w:t>
            </w:r>
          </w:p>
        </w:tc>
      </w:tr>
    </w:tbl>
    <w:p w14:paraId="2A587EC9" w14:textId="77777777" w:rsidR="00105561" w:rsidRDefault="00105561">
      <w:pPr>
        <w:spacing w:after="0"/>
      </w:pPr>
    </w:p>
    <w:p w14:paraId="20049ECB" w14:textId="77777777" w:rsidR="00105561" w:rsidRDefault="00000000">
      <w:r>
        <w:t>Kapitalne pomoći od inozemnih vlada iznose  3.044,00 eura i odnose se na nabavu mobilnog generatora za projekt Fred (Interreg EUROMED).</w:t>
      </w:r>
    </w:p>
    <w:p w14:paraId="6C4C86F1" w14:textId="77777777" w:rsidR="00105561" w:rsidRDefault="00105561"/>
    <w:p w14:paraId="4EE1CA67" w14:textId="77777777" w:rsidR="00105561" w:rsidRDefault="00000000">
      <w:pPr>
        <w:keepNext/>
        <w:spacing w:line="240" w:lineRule="auto"/>
        <w:jc w:val="center"/>
      </w:pPr>
      <w:r>
        <w:rPr>
          <w:sz w:val="28"/>
        </w:rPr>
        <w:t>Bilješka 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05561" w14:paraId="542CBDF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71EBF30" w14:textId="77777777" w:rsidR="00105561"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1997240" w14:textId="77777777" w:rsidR="00105561"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6C0C49C" w14:textId="77777777" w:rsidR="00105561"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C4379D3" w14:textId="77777777" w:rsidR="00105561"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3A58146" w14:textId="77777777" w:rsidR="00105561"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F5D2A4E" w14:textId="77777777" w:rsidR="00105561" w:rsidRDefault="00000000">
            <w:pPr>
              <w:keepNext/>
              <w:keepLines/>
              <w:spacing w:after="0" w:line="240" w:lineRule="auto"/>
              <w:jc w:val="center"/>
            </w:pPr>
            <w:r>
              <w:rPr>
                <w:b/>
                <w:sz w:val="18"/>
              </w:rPr>
              <w:t>Indeks (%)</w:t>
            </w:r>
          </w:p>
        </w:tc>
      </w:tr>
      <w:tr w:rsidR="00105561" w14:paraId="18C2E29A" w14:textId="77777777">
        <w:tblPrEx>
          <w:tblCellMar>
            <w:top w:w="0" w:type="dxa"/>
            <w:bottom w:w="0" w:type="dxa"/>
          </w:tblCellMar>
        </w:tblPrEx>
        <w:trPr>
          <w:cantSplit/>
          <w:trHeight w:val="560"/>
        </w:trPr>
        <w:tc>
          <w:tcPr>
            <w:tcW w:w="700" w:type="dxa"/>
            <w:tcMar>
              <w:top w:w="0" w:type="dxa"/>
              <w:bottom w:w="0" w:type="dxa"/>
            </w:tcMar>
            <w:vAlign w:val="center"/>
          </w:tcPr>
          <w:p w14:paraId="537F8497" w14:textId="77777777" w:rsidR="00105561" w:rsidRDefault="00000000">
            <w:pPr>
              <w:keepNext/>
              <w:keepLines/>
              <w:spacing w:after="0" w:line="240" w:lineRule="auto"/>
            </w:pPr>
            <w:r>
              <w:rPr>
                <w:sz w:val="18"/>
              </w:rPr>
              <w:t>6321</w:t>
            </w:r>
          </w:p>
        </w:tc>
        <w:tc>
          <w:tcPr>
            <w:tcW w:w="3180" w:type="dxa"/>
            <w:tcMar>
              <w:top w:w="0" w:type="dxa"/>
              <w:bottom w:w="0" w:type="dxa"/>
            </w:tcMar>
            <w:vAlign w:val="center"/>
          </w:tcPr>
          <w:p w14:paraId="5E0E7DFA" w14:textId="77777777" w:rsidR="00105561" w:rsidRDefault="00000000">
            <w:pPr>
              <w:keepNext/>
              <w:keepLines/>
              <w:spacing w:after="0" w:line="240" w:lineRule="auto"/>
            </w:pPr>
            <w:r>
              <w:rPr>
                <w:sz w:val="18"/>
              </w:rPr>
              <w:t>Tekuće pomoći od međunarodnih organizacija</w:t>
            </w:r>
          </w:p>
        </w:tc>
        <w:tc>
          <w:tcPr>
            <w:tcW w:w="700" w:type="dxa"/>
            <w:tcMar>
              <w:top w:w="0" w:type="dxa"/>
              <w:bottom w:w="0" w:type="dxa"/>
            </w:tcMar>
            <w:vAlign w:val="center"/>
          </w:tcPr>
          <w:p w14:paraId="6D03D9F3" w14:textId="77777777" w:rsidR="00105561" w:rsidRDefault="00000000">
            <w:pPr>
              <w:keepNext/>
              <w:keepLines/>
              <w:spacing w:after="0" w:line="240" w:lineRule="auto"/>
            </w:pPr>
            <w:r>
              <w:rPr>
                <w:sz w:val="18"/>
              </w:rPr>
              <w:t>6321</w:t>
            </w:r>
          </w:p>
        </w:tc>
        <w:tc>
          <w:tcPr>
            <w:tcW w:w="1860" w:type="dxa"/>
            <w:tcMar>
              <w:top w:w="0" w:type="dxa"/>
              <w:bottom w:w="0" w:type="dxa"/>
            </w:tcMar>
            <w:vAlign w:val="center"/>
          </w:tcPr>
          <w:p w14:paraId="47CD4254" w14:textId="77777777" w:rsidR="00105561" w:rsidRDefault="00000000">
            <w:pPr>
              <w:keepNext/>
              <w:keepLines/>
              <w:spacing w:after="0" w:line="240" w:lineRule="auto"/>
              <w:jc w:val="right"/>
            </w:pPr>
            <w:r>
              <w:rPr>
                <w:sz w:val="18"/>
              </w:rPr>
              <w:t>14.916,57</w:t>
            </w:r>
          </w:p>
        </w:tc>
        <w:tc>
          <w:tcPr>
            <w:tcW w:w="1860" w:type="dxa"/>
            <w:tcMar>
              <w:top w:w="0" w:type="dxa"/>
              <w:bottom w:w="0" w:type="dxa"/>
            </w:tcMar>
            <w:vAlign w:val="center"/>
          </w:tcPr>
          <w:p w14:paraId="28765E85" w14:textId="77777777" w:rsidR="00105561" w:rsidRDefault="00000000">
            <w:pPr>
              <w:keepNext/>
              <w:keepLines/>
              <w:spacing w:after="0" w:line="240" w:lineRule="auto"/>
              <w:jc w:val="right"/>
            </w:pPr>
            <w:r>
              <w:rPr>
                <w:sz w:val="18"/>
              </w:rPr>
              <w:t>17.325,27</w:t>
            </w:r>
          </w:p>
        </w:tc>
        <w:tc>
          <w:tcPr>
            <w:tcW w:w="700" w:type="dxa"/>
            <w:tcMar>
              <w:top w:w="0" w:type="dxa"/>
              <w:bottom w:w="0" w:type="dxa"/>
            </w:tcMar>
            <w:vAlign w:val="center"/>
          </w:tcPr>
          <w:p w14:paraId="6014CB2A" w14:textId="77777777" w:rsidR="00105561" w:rsidRDefault="00000000">
            <w:pPr>
              <w:keepNext/>
              <w:keepLines/>
              <w:spacing w:after="0" w:line="240" w:lineRule="auto"/>
              <w:jc w:val="right"/>
            </w:pPr>
            <w:r>
              <w:rPr>
                <w:sz w:val="18"/>
              </w:rPr>
              <w:t>116,1</w:t>
            </w:r>
          </w:p>
        </w:tc>
      </w:tr>
    </w:tbl>
    <w:p w14:paraId="077BE758" w14:textId="77777777" w:rsidR="00105561" w:rsidRDefault="00105561">
      <w:pPr>
        <w:spacing w:after="0"/>
      </w:pPr>
    </w:p>
    <w:p w14:paraId="3766D3B1" w14:textId="77777777" w:rsidR="00105561" w:rsidRDefault="00000000">
      <w:pPr>
        <w:jc w:val="both"/>
      </w:pPr>
      <w:r>
        <w:t>Tekuće pomoći od međunarodnih organizacija odnose se na refundaciju putnih troškova vezanih za sastanke i konferencije Međunarodnog udruženja  pomorskih sveučilišta (IAMU)  iz Japana na kojima su sudjelovali predstavnici Fakulteta u iznosu 1.941,50 eura, na stipendiju za financiranje doktorskog studija studentice na Fakultetu u iznosu  8.488,82 eura i za provođenje projekta IAMU METROV u iznosu 6.894,55 eura. </w:t>
      </w:r>
    </w:p>
    <w:p w14:paraId="7ED3F408" w14:textId="77777777" w:rsidR="00105561" w:rsidRDefault="00105561"/>
    <w:p w14:paraId="2445C2BB" w14:textId="77777777" w:rsidR="00105561" w:rsidRDefault="00000000">
      <w:pPr>
        <w:keepNext/>
        <w:spacing w:line="240" w:lineRule="auto"/>
        <w:jc w:val="center"/>
      </w:pPr>
      <w:r>
        <w:rPr>
          <w:sz w:val="28"/>
        </w:rPr>
        <w:t>Bilješka 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05561" w14:paraId="25797BC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34C4219" w14:textId="77777777" w:rsidR="00105561"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F907B78" w14:textId="77777777" w:rsidR="00105561"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4DD81E3" w14:textId="77777777" w:rsidR="00105561"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0CCAC64" w14:textId="77777777" w:rsidR="00105561"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6FE6ABF" w14:textId="77777777" w:rsidR="00105561"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951E2E1" w14:textId="77777777" w:rsidR="00105561" w:rsidRDefault="00000000">
            <w:pPr>
              <w:keepNext/>
              <w:keepLines/>
              <w:spacing w:after="0" w:line="240" w:lineRule="auto"/>
              <w:jc w:val="center"/>
            </w:pPr>
            <w:r>
              <w:rPr>
                <w:b/>
                <w:sz w:val="18"/>
              </w:rPr>
              <w:t>Indeks (%)</w:t>
            </w:r>
          </w:p>
        </w:tc>
      </w:tr>
      <w:tr w:rsidR="00105561" w14:paraId="65CCF79B" w14:textId="77777777">
        <w:tblPrEx>
          <w:tblCellMar>
            <w:top w:w="0" w:type="dxa"/>
            <w:bottom w:w="0" w:type="dxa"/>
          </w:tblCellMar>
        </w:tblPrEx>
        <w:trPr>
          <w:cantSplit/>
          <w:trHeight w:val="560"/>
        </w:trPr>
        <w:tc>
          <w:tcPr>
            <w:tcW w:w="700" w:type="dxa"/>
            <w:tcMar>
              <w:top w:w="0" w:type="dxa"/>
              <w:bottom w:w="0" w:type="dxa"/>
            </w:tcMar>
            <w:vAlign w:val="center"/>
          </w:tcPr>
          <w:p w14:paraId="408E30F3" w14:textId="77777777" w:rsidR="00105561" w:rsidRDefault="00000000">
            <w:pPr>
              <w:keepNext/>
              <w:keepLines/>
              <w:spacing w:after="0" w:line="240" w:lineRule="auto"/>
            </w:pPr>
            <w:r>
              <w:rPr>
                <w:sz w:val="18"/>
              </w:rPr>
              <w:t>6323</w:t>
            </w:r>
          </w:p>
        </w:tc>
        <w:tc>
          <w:tcPr>
            <w:tcW w:w="3180" w:type="dxa"/>
            <w:tcMar>
              <w:top w:w="0" w:type="dxa"/>
              <w:bottom w:w="0" w:type="dxa"/>
            </w:tcMar>
            <w:vAlign w:val="center"/>
          </w:tcPr>
          <w:p w14:paraId="29F8A1D6" w14:textId="77777777" w:rsidR="00105561" w:rsidRDefault="00000000">
            <w:pPr>
              <w:keepNext/>
              <w:keepLines/>
              <w:spacing w:after="0" w:line="240" w:lineRule="auto"/>
            </w:pPr>
            <w:r>
              <w:rPr>
                <w:sz w:val="18"/>
              </w:rPr>
              <w:t>Tekuće pomoći od institucija i tijela EU</w:t>
            </w:r>
          </w:p>
        </w:tc>
        <w:tc>
          <w:tcPr>
            <w:tcW w:w="700" w:type="dxa"/>
            <w:tcMar>
              <w:top w:w="0" w:type="dxa"/>
              <w:bottom w:w="0" w:type="dxa"/>
            </w:tcMar>
            <w:vAlign w:val="center"/>
          </w:tcPr>
          <w:p w14:paraId="42655420" w14:textId="77777777" w:rsidR="00105561" w:rsidRDefault="00000000">
            <w:pPr>
              <w:keepNext/>
              <w:keepLines/>
              <w:spacing w:after="0" w:line="240" w:lineRule="auto"/>
            </w:pPr>
            <w:r>
              <w:rPr>
                <w:sz w:val="18"/>
              </w:rPr>
              <w:t>6323</w:t>
            </w:r>
          </w:p>
        </w:tc>
        <w:tc>
          <w:tcPr>
            <w:tcW w:w="1860" w:type="dxa"/>
            <w:tcMar>
              <w:top w:w="0" w:type="dxa"/>
              <w:bottom w:w="0" w:type="dxa"/>
            </w:tcMar>
            <w:vAlign w:val="center"/>
          </w:tcPr>
          <w:p w14:paraId="4459311B" w14:textId="77777777" w:rsidR="00105561" w:rsidRDefault="00000000">
            <w:pPr>
              <w:keepNext/>
              <w:keepLines/>
              <w:spacing w:after="0" w:line="240" w:lineRule="auto"/>
              <w:jc w:val="right"/>
            </w:pPr>
            <w:r>
              <w:rPr>
                <w:sz w:val="18"/>
              </w:rPr>
              <w:t>600.609,96</w:t>
            </w:r>
          </w:p>
        </w:tc>
        <w:tc>
          <w:tcPr>
            <w:tcW w:w="1860" w:type="dxa"/>
            <w:tcMar>
              <w:top w:w="0" w:type="dxa"/>
              <w:bottom w:w="0" w:type="dxa"/>
            </w:tcMar>
            <w:vAlign w:val="center"/>
          </w:tcPr>
          <w:p w14:paraId="2CBDBEB6" w14:textId="77777777" w:rsidR="00105561" w:rsidRDefault="00000000">
            <w:pPr>
              <w:keepNext/>
              <w:keepLines/>
              <w:spacing w:after="0" w:line="240" w:lineRule="auto"/>
              <w:jc w:val="right"/>
            </w:pPr>
            <w:r>
              <w:rPr>
                <w:sz w:val="18"/>
              </w:rPr>
              <w:t>0,00</w:t>
            </w:r>
          </w:p>
        </w:tc>
        <w:tc>
          <w:tcPr>
            <w:tcW w:w="700" w:type="dxa"/>
            <w:tcMar>
              <w:top w:w="0" w:type="dxa"/>
              <w:bottom w:w="0" w:type="dxa"/>
            </w:tcMar>
            <w:vAlign w:val="center"/>
          </w:tcPr>
          <w:p w14:paraId="064A2729" w14:textId="77777777" w:rsidR="00105561" w:rsidRDefault="00000000">
            <w:pPr>
              <w:keepNext/>
              <w:keepLines/>
              <w:spacing w:after="0" w:line="240" w:lineRule="auto"/>
              <w:jc w:val="right"/>
            </w:pPr>
            <w:r>
              <w:rPr>
                <w:sz w:val="18"/>
              </w:rPr>
              <w:t>0</w:t>
            </w:r>
          </w:p>
        </w:tc>
      </w:tr>
    </w:tbl>
    <w:p w14:paraId="0343D97E" w14:textId="77777777" w:rsidR="00105561" w:rsidRDefault="00105561">
      <w:pPr>
        <w:spacing w:after="0"/>
      </w:pPr>
    </w:p>
    <w:p w14:paraId="5CFB64A1" w14:textId="77777777" w:rsidR="00105561" w:rsidRDefault="00000000">
      <w:pPr>
        <w:jc w:val="both"/>
      </w:pPr>
      <w:r>
        <w:t>Tekuće pomoći od institucija i tijela EU nisu ostvarene zbog promjene u načinu evidentiranja ovih pomoći. Naime, u odnosu na prethodnu godinu sredstva za EU pomoći koja nisu primljena  direktno od tijela i institucija EU evidentiraju se unutar podskupine 631 Pomoći od inozemnih vlada.  </w:t>
      </w:r>
    </w:p>
    <w:p w14:paraId="335054A0" w14:textId="77777777" w:rsidR="00105561" w:rsidRDefault="00105561"/>
    <w:p w14:paraId="2BCB4A54" w14:textId="77777777" w:rsidR="00105561" w:rsidRDefault="00000000">
      <w:pPr>
        <w:keepNext/>
        <w:spacing w:line="240" w:lineRule="auto"/>
        <w:jc w:val="center"/>
      </w:pPr>
      <w:r>
        <w:rPr>
          <w:sz w:val="28"/>
        </w:rPr>
        <w:t>Bilješka 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05561" w14:paraId="5F1EADA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0EF47F1" w14:textId="77777777" w:rsidR="00105561"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6A7B0B4" w14:textId="77777777" w:rsidR="00105561"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A32E685" w14:textId="77777777" w:rsidR="00105561"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DC26332" w14:textId="77777777" w:rsidR="00105561"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56437B3" w14:textId="77777777" w:rsidR="00105561"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0B9B342" w14:textId="77777777" w:rsidR="00105561" w:rsidRDefault="00000000">
            <w:pPr>
              <w:keepNext/>
              <w:keepLines/>
              <w:spacing w:after="0" w:line="240" w:lineRule="auto"/>
              <w:jc w:val="center"/>
            </w:pPr>
            <w:r>
              <w:rPr>
                <w:b/>
                <w:sz w:val="18"/>
              </w:rPr>
              <w:t>Indeks (%)</w:t>
            </w:r>
          </w:p>
        </w:tc>
      </w:tr>
      <w:tr w:rsidR="00105561" w14:paraId="6DC7184F" w14:textId="77777777">
        <w:tblPrEx>
          <w:tblCellMar>
            <w:top w:w="0" w:type="dxa"/>
            <w:bottom w:w="0" w:type="dxa"/>
          </w:tblCellMar>
        </w:tblPrEx>
        <w:trPr>
          <w:cantSplit/>
          <w:trHeight w:val="560"/>
        </w:trPr>
        <w:tc>
          <w:tcPr>
            <w:tcW w:w="700" w:type="dxa"/>
            <w:tcMar>
              <w:top w:w="0" w:type="dxa"/>
              <w:bottom w:w="0" w:type="dxa"/>
            </w:tcMar>
            <w:vAlign w:val="center"/>
          </w:tcPr>
          <w:p w14:paraId="36F91F8F" w14:textId="77777777" w:rsidR="00105561" w:rsidRDefault="00000000">
            <w:pPr>
              <w:keepNext/>
              <w:keepLines/>
              <w:spacing w:after="0" w:line="240" w:lineRule="auto"/>
            </w:pPr>
            <w:r>
              <w:rPr>
                <w:sz w:val="18"/>
              </w:rPr>
              <w:t>6391</w:t>
            </w:r>
          </w:p>
        </w:tc>
        <w:tc>
          <w:tcPr>
            <w:tcW w:w="3180" w:type="dxa"/>
            <w:tcMar>
              <w:top w:w="0" w:type="dxa"/>
              <w:bottom w:w="0" w:type="dxa"/>
            </w:tcMar>
            <w:vAlign w:val="center"/>
          </w:tcPr>
          <w:p w14:paraId="0E3C91C3" w14:textId="77777777" w:rsidR="00105561" w:rsidRDefault="00000000">
            <w:pPr>
              <w:keepNext/>
              <w:keepLines/>
              <w:spacing w:after="0" w:line="240" w:lineRule="auto"/>
            </w:pPr>
            <w:r>
              <w:rPr>
                <w:sz w:val="18"/>
              </w:rPr>
              <w:t>Tekući prijenosi između proračunskih korisnika istog proračuna</w:t>
            </w:r>
          </w:p>
        </w:tc>
        <w:tc>
          <w:tcPr>
            <w:tcW w:w="700" w:type="dxa"/>
            <w:tcMar>
              <w:top w:w="0" w:type="dxa"/>
              <w:bottom w:w="0" w:type="dxa"/>
            </w:tcMar>
            <w:vAlign w:val="center"/>
          </w:tcPr>
          <w:p w14:paraId="44B08D07" w14:textId="77777777" w:rsidR="00105561" w:rsidRDefault="00000000">
            <w:pPr>
              <w:keepNext/>
              <w:keepLines/>
              <w:spacing w:after="0" w:line="240" w:lineRule="auto"/>
            </w:pPr>
            <w:r>
              <w:rPr>
                <w:sz w:val="18"/>
              </w:rPr>
              <w:t>6391</w:t>
            </w:r>
          </w:p>
        </w:tc>
        <w:tc>
          <w:tcPr>
            <w:tcW w:w="1860" w:type="dxa"/>
            <w:tcMar>
              <w:top w:w="0" w:type="dxa"/>
              <w:bottom w:w="0" w:type="dxa"/>
            </w:tcMar>
            <w:vAlign w:val="center"/>
          </w:tcPr>
          <w:p w14:paraId="441F1F4F" w14:textId="77777777" w:rsidR="00105561" w:rsidRDefault="00000000">
            <w:pPr>
              <w:keepNext/>
              <w:keepLines/>
              <w:spacing w:after="0" w:line="240" w:lineRule="auto"/>
              <w:jc w:val="right"/>
            </w:pPr>
            <w:r>
              <w:rPr>
                <w:sz w:val="18"/>
              </w:rPr>
              <w:t>52.234,25</w:t>
            </w:r>
          </w:p>
        </w:tc>
        <w:tc>
          <w:tcPr>
            <w:tcW w:w="1860" w:type="dxa"/>
            <w:tcMar>
              <w:top w:w="0" w:type="dxa"/>
              <w:bottom w:w="0" w:type="dxa"/>
            </w:tcMar>
            <w:vAlign w:val="center"/>
          </w:tcPr>
          <w:p w14:paraId="7900E466" w14:textId="77777777" w:rsidR="00105561" w:rsidRDefault="00000000">
            <w:pPr>
              <w:keepNext/>
              <w:keepLines/>
              <w:spacing w:after="0" w:line="240" w:lineRule="auto"/>
              <w:jc w:val="right"/>
            </w:pPr>
            <w:r>
              <w:rPr>
                <w:sz w:val="18"/>
              </w:rPr>
              <w:t>46.766,46</w:t>
            </w:r>
          </w:p>
        </w:tc>
        <w:tc>
          <w:tcPr>
            <w:tcW w:w="700" w:type="dxa"/>
            <w:tcMar>
              <w:top w:w="0" w:type="dxa"/>
              <w:bottom w:w="0" w:type="dxa"/>
            </w:tcMar>
            <w:vAlign w:val="center"/>
          </w:tcPr>
          <w:p w14:paraId="324720EE" w14:textId="77777777" w:rsidR="00105561" w:rsidRDefault="00000000">
            <w:pPr>
              <w:keepNext/>
              <w:keepLines/>
              <w:spacing w:after="0" w:line="240" w:lineRule="auto"/>
              <w:jc w:val="right"/>
            </w:pPr>
            <w:r>
              <w:rPr>
                <w:sz w:val="18"/>
              </w:rPr>
              <w:t>89,5</w:t>
            </w:r>
          </w:p>
        </w:tc>
      </w:tr>
    </w:tbl>
    <w:p w14:paraId="09FC8457" w14:textId="77777777" w:rsidR="00105561" w:rsidRDefault="00105561">
      <w:pPr>
        <w:spacing w:after="0"/>
      </w:pPr>
    </w:p>
    <w:p w14:paraId="376DB7FA" w14:textId="77777777" w:rsidR="00105561" w:rsidRDefault="00000000">
      <w:pPr>
        <w:jc w:val="both"/>
      </w:pPr>
      <w:r>
        <w:lastRenderedPageBreak/>
        <w:t>Tekući prijenosi između proračunskih korisnika istog proračuna evidentirani su temeljem gotovinskog načela i manji su za 11,5% u odnosu na prethodnu godinu. Iznos od 46.766,46  eura sadrži prijenos sredstava od strane Sveučilišta u Rijeci za financiranje rada Studentskog zbora u iznosu od 1.555,78 eura, za stimulativne znanstveno istraživačke potpore u iznosu od 7.000,00 eura,  za financiranje dolazne mobilnosti profesora u iznosu od 520,00 eura i uplatu Hrvatske zaklade za znanost u iznosu od 37.690,68 eura za provođenje projekta „Računalno modeliranje iskorištavanja otpadne topline na brodovima za krstarenje“.</w:t>
      </w:r>
    </w:p>
    <w:p w14:paraId="0737B868" w14:textId="77777777" w:rsidR="00105561" w:rsidRDefault="00105561"/>
    <w:p w14:paraId="7FAA254D" w14:textId="77777777" w:rsidR="00105561" w:rsidRDefault="00000000">
      <w:pPr>
        <w:keepNext/>
        <w:spacing w:line="240" w:lineRule="auto"/>
        <w:jc w:val="center"/>
      </w:pPr>
      <w:r>
        <w:rPr>
          <w:sz w:val="28"/>
        </w:rPr>
        <w:t>Bilješka 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05561" w14:paraId="49BD298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D65EBAA" w14:textId="77777777" w:rsidR="00105561"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A0EB9CB" w14:textId="77777777" w:rsidR="00105561"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1FA5CD6" w14:textId="77777777" w:rsidR="00105561"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CC87182" w14:textId="77777777" w:rsidR="00105561"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0B75422" w14:textId="77777777" w:rsidR="00105561"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4234FE7" w14:textId="77777777" w:rsidR="00105561" w:rsidRDefault="00000000">
            <w:pPr>
              <w:keepNext/>
              <w:keepLines/>
              <w:spacing w:after="0" w:line="240" w:lineRule="auto"/>
              <w:jc w:val="center"/>
            </w:pPr>
            <w:r>
              <w:rPr>
                <w:b/>
                <w:sz w:val="18"/>
              </w:rPr>
              <w:t>Indeks (%)</w:t>
            </w:r>
          </w:p>
        </w:tc>
      </w:tr>
      <w:tr w:rsidR="00105561" w14:paraId="0F4F75CB" w14:textId="77777777">
        <w:tblPrEx>
          <w:tblCellMar>
            <w:top w:w="0" w:type="dxa"/>
            <w:bottom w:w="0" w:type="dxa"/>
          </w:tblCellMar>
        </w:tblPrEx>
        <w:trPr>
          <w:cantSplit/>
          <w:trHeight w:val="560"/>
        </w:trPr>
        <w:tc>
          <w:tcPr>
            <w:tcW w:w="700" w:type="dxa"/>
            <w:tcMar>
              <w:top w:w="0" w:type="dxa"/>
              <w:bottom w:w="0" w:type="dxa"/>
            </w:tcMar>
            <w:vAlign w:val="center"/>
          </w:tcPr>
          <w:p w14:paraId="78F02837" w14:textId="77777777" w:rsidR="00105561" w:rsidRDefault="00000000">
            <w:pPr>
              <w:keepNext/>
              <w:keepLines/>
              <w:spacing w:after="0" w:line="240" w:lineRule="auto"/>
            </w:pPr>
            <w:r>
              <w:rPr>
                <w:sz w:val="18"/>
              </w:rPr>
              <w:t>6393</w:t>
            </w:r>
          </w:p>
        </w:tc>
        <w:tc>
          <w:tcPr>
            <w:tcW w:w="3180" w:type="dxa"/>
            <w:tcMar>
              <w:top w:w="0" w:type="dxa"/>
              <w:bottom w:w="0" w:type="dxa"/>
            </w:tcMar>
            <w:vAlign w:val="center"/>
          </w:tcPr>
          <w:p w14:paraId="3043BAF2" w14:textId="77777777" w:rsidR="00105561" w:rsidRDefault="00000000">
            <w:pPr>
              <w:keepNext/>
              <w:keepLines/>
              <w:spacing w:after="0" w:line="240" w:lineRule="auto"/>
            </w:pPr>
            <w:r>
              <w:rPr>
                <w:sz w:val="18"/>
              </w:rPr>
              <w:t>Tekući prijenosi između proračunskih korisnika istog proračuna temeljem prijenosa EU sredstava</w:t>
            </w:r>
          </w:p>
        </w:tc>
        <w:tc>
          <w:tcPr>
            <w:tcW w:w="700" w:type="dxa"/>
            <w:tcMar>
              <w:top w:w="0" w:type="dxa"/>
              <w:bottom w:w="0" w:type="dxa"/>
            </w:tcMar>
            <w:vAlign w:val="center"/>
          </w:tcPr>
          <w:p w14:paraId="31679E39" w14:textId="77777777" w:rsidR="00105561" w:rsidRDefault="00000000">
            <w:pPr>
              <w:keepNext/>
              <w:keepLines/>
              <w:spacing w:after="0" w:line="240" w:lineRule="auto"/>
            </w:pPr>
            <w:r>
              <w:rPr>
                <w:sz w:val="18"/>
              </w:rPr>
              <w:t>6393</w:t>
            </w:r>
          </w:p>
        </w:tc>
        <w:tc>
          <w:tcPr>
            <w:tcW w:w="1860" w:type="dxa"/>
            <w:tcMar>
              <w:top w:w="0" w:type="dxa"/>
              <w:bottom w:w="0" w:type="dxa"/>
            </w:tcMar>
            <w:vAlign w:val="center"/>
          </w:tcPr>
          <w:p w14:paraId="6F2DAF0B" w14:textId="77777777" w:rsidR="00105561" w:rsidRDefault="00000000">
            <w:pPr>
              <w:keepNext/>
              <w:keepLines/>
              <w:spacing w:after="0" w:line="240" w:lineRule="auto"/>
              <w:jc w:val="right"/>
            </w:pPr>
            <w:r>
              <w:rPr>
                <w:sz w:val="18"/>
              </w:rPr>
              <w:t>106.915,23</w:t>
            </w:r>
          </w:p>
        </w:tc>
        <w:tc>
          <w:tcPr>
            <w:tcW w:w="1860" w:type="dxa"/>
            <w:tcMar>
              <w:top w:w="0" w:type="dxa"/>
              <w:bottom w:w="0" w:type="dxa"/>
            </w:tcMar>
            <w:vAlign w:val="center"/>
          </w:tcPr>
          <w:p w14:paraId="46A13DFE" w14:textId="77777777" w:rsidR="00105561" w:rsidRDefault="00000000">
            <w:pPr>
              <w:keepNext/>
              <w:keepLines/>
              <w:spacing w:after="0" w:line="240" w:lineRule="auto"/>
              <w:jc w:val="right"/>
            </w:pPr>
            <w:r>
              <w:rPr>
                <w:sz w:val="18"/>
              </w:rPr>
              <w:t>95.600,19</w:t>
            </w:r>
          </w:p>
        </w:tc>
        <w:tc>
          <w:tcPr>
            <w:tcW w:w="700" w:type="dxa"/>
            <w:tcMar>
              <w:top w:w="0" w:type="dxa"/>
              <w:bottom w:w="0" w:type="dxa"/>
            </w:tcMar>
            <w:vAlign w:val="center"/>
          </w:tcPr>
          <w:p w14:paraId="32D42300" w14:textId="77777777" w:rsidR="00105561" w:rsidRDefault="00000000">
            <w:pPr>
              <w:keepNext/>
              <w:keepLines/>
              <w:spacing w:after="0" w:line="240" w:lineRule="auto"/>
              <w:jc w:val="right"/>
            </w:pPr>
            <w:r>
              <w:rPr>
                <w:sz w:val="18"/>
              </w:rPr>
              <w:t>89,4</w:t>
            </w:r>
          </w:p>
        </w:tc>
      </w:tr>
    </w:tbl>
    <w:p w14:paraId="7666A876" w14:textId="77777777" w:rsidR="00105561" w:rsidRDefault="00105561">
      <w:pPr>
        <w:spacing w:after="0"/>
      </w:pPr>
    </w:p>
    <w:p w14:paraId="5B59AE27" w14:textId="77777777" w:rsidR="00105561" w:rsidRDefault="00000000">
      <w:pPr>
        <w:jc w:val="both"/>
      </w:pPr>
      <w:r>
        <w:t>Tekući prijenosi između proračunskih korisnika istog proračuna temeljem prijenosa EU sredstava odnose na doznaku Sveučilišta u Rijeci za financiranje projekta MASK gdje je vodeći partner Fakultet za elektrotehniku i računarstvo uplatio Sveučilištu u Rijeci, a oni Pomorskom fakultetu iznos od 2.143,70 eura, uplatu Sveučilišta u Rijeci u iznosu od 810,00 eura za Festival znanosti Blue Connect, uplatu Hrvatske zaklade za znanost za mobilnost profesora u iznosu 11.900,00 eura i refundacije rashoda za zaposlene u ukupnom iznosu od 80.746,49 eura za projekt „Razvoj karijera mladih istraživača – izobrazba novih doktora znanosti“ u sklopu kojeg su zaposlena tri asistenta na Fakultetu.</w:t>
      </w:r>
    </w:p>
    <w:p w14:paraId="1A7AEE9A" w14:textId="77777777" w:rsidR="00105561" w:rsidRDefault="00105561"/>
    <w:p w14:paraId="79205B04" w14:textId="77777777" w:rsidR="00105561" w:rsidRDefault="00000000">
      <w:pPr>
        <w:keepNext/>
        <w:spacing w:line="240" w:lineRule="auto"/>
        <w:jc w:val="center"/>
      </w:pPr>
      <w:r>
        <w:rPr>
          <w:sz w:val="28"/>
        </w:rPr>
        <w:t>Bilješka 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05561" w14:paraId="581F9EC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95096D2" w14:textId="77777777" w:rsidR="00105561"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3B6E58F" w14:textId="77777777" w:rsidR="00105561"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A916EAD" w14:textId="77777777" w:rsidR="00105561"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84FA084" w14:textId="77777777" w:rsidR="00105561"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1CDAE3D" w14:textId="77777777" w:rsidR="00105561"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AA21C2D" w14:textId="77777777" w:rsidR="00105561" w:rsidRDefault="00000000">
            <w:pPr>
              <w:keepNext/>
              <w:keepLines/>
              <w:spacing w:after="0" w:line="240" w:lineRule="auto"/>
              <w:jc w:val="center"/>
            </w:pPr>
            <w:r>
              <w:rPr>
                <w:b/>
                <w:sz w:val="18"/>
              </w:rPr>
              <w:t>Indeks (%)</w:t>
            </w:r>
          </w:p>
        </w:tc>
      </w:tr>
      <w:tr w:rsidR="00105561" w14:paraId="5A8804B7" w14:textId="77777777">
        <w:tblPrEx>
          <w:tblCellMar>
            <w:top w:w="0" w:type="dxa"/>
            <w:bottom w:w="0" w:type="dxa"/>
          </w:tblCellMar>
        </w:tblPrEx>
        <w:trPr>
          <w:cantSplit/>
          <w:trHeight w:val="560"/>
        </w:trPr>
        <w:tc>
          <w:tcPr>
            <w:tcW w:w="700" w:type="dxa"/>
            <w:tcMar>
              <w:top w:w="0" w:type="dxa"/>
              <w:bottom w:w="0" w:type="dxa"/>
            </w:tcMar>
            <w:vAlign w:val="center"/>
          </w:tcPr>
          <w:p w14:paraId="501BD7A4" w14:textId="77777777" w:rsidR="00105561" w:rsidRDefault="00000000">
            <w:pPr>
              <w:keepNext/>
              <w:keepLines/>
              <w:spacing w:after="0" w:line="240" w:lineRule="auto"/>
            </w:pPr>
            <w:r>
              <w:rPr>
                <w:sz w:val="18"/>
              </w:rPr>
              <w:t>65</w:t>
            </w:r>
          </w:p>
        </w:tc>
        <w:tc>
          <w:tcPr>
            <w:tcW w:w="3180" w:type="dxa"/>
            <w:tcMar>
              <w:top w:w="0" w:type="dxa"/>
              <w:bottom w:w="0" w:type="dxa"/>
            </w:tcMar>
            <w:vAlign w:val="center"/>
          </w:tcPr>
          <w:p w14:paraId="572C9F1F" w14:textId="77777777" w:rsidR="00105561" w:rsidRDefault="00000000">
            <w:pPr>
              <w:keepNext/>
              <w:keepLines/>
              <w:spacing w:after="0" w:line="240" w:lineRule="auto"/>
            </w:pPr>
            <w:r>
              <w:rPr>
                <w:sz w:val="18"/>
              </w:rPr>
              <w:t>Prihodi od upravnih i administrativnih pristojbi, pristojbi po posebnim propisima i naknada (šifre 651+652+653+654)</w:t>
            </w:r>
          </w:p>
        </w:tc>
        <w:tc>
          <w:tcPr>
            <w:tcW w:w="700" w:type="dxa"/>
            <w:tcMar>
              <w:top w:w="0" w:type="dxa"/>
              <w:bottom w:w="0" w:type="dxa"/>
            </w:tcMar>
            <w:vAlign w:val="center"/>
          </w:tcPr>
          <w:p w14:paraId="65E13B5B" w14:textId="77777777" w:rsidR="00105561" w:rsidRDefault="00000000">
            <w:pPr>
              <w:keepNext/>
              <w:keepLines/>
              <w:spacing w:after="0" w:line="240" w:lineRule="auto"/>
            </w:pPr>
            <w:r>
              <w:rPr>
                <w:sz w:val="18"/>
              </w:rPr>
              <w:t>65</w:t>
            </w:r>
          </w:p>
        </w:tc>
        <w:tc>
          <w:tcPr>
            <w:tcW w:w="1860" w:type="dxa"/>
            <w:tcMar>
              <w:top w:w="0" w:type="dxa"/>
              <w:bottom w:w="0" w:type="dxa"/>
            </w:tcMar>
            <w:vAlign w:val="center"/>
          </w:tcPr>
          <w:p w14:paraId="0CAEFCC3" w14:textId="77777777" w:rsidR="00105561" w:rsidRDefault="00000000">
            <w:pPr>
              <w:keepNext/>
              <w:keepLines/>
              <w:spacing w:after="0" w:line="240" w:lineRule="auto"/>
              <w:jc w:val="right"/>
            </w:pPr>
            <w:r>
              <w:rPr>
                <w:sz w:val="18"/>
              </w:rPr>
              <w:t>857.050,43</w:t>
            </w:r>
          </w:p>
        </w:tc>
        <w:tc>
          <w:tcPr>
            <w:tcW w:w="1860" w:type="dxa"/>
            <w:tcMar>
              <w:top w:w="0" w:type="dxa"/>
              <w:bottom w:w="0" w:type="dxa"/>
            </w:tcMar>
            <w:vAlign w:val="center"/>
          </w:tcPr>
          <w:p w14:paraId="30236B21" w14:textId="77777777" w:rsidR="00105561" w:rsidRDefault="00000000">
            <w:pPr>
              <w:keepNext/>
              <w:keepLines/>
              <w:spacing w:after="0" w:line="240" w:lineRule="auto"/>
              <w:jc w:val="right"/>
            </w:pPr>
            <w:r>
              <w:rPr>
                <w:sz w:val="18"/>
              </w:rPr>
              <w:t>820.512,69</w:t>
            </w:r>
          </w:p>
        </w:tc>
        <w:tc>
          <w:tcPr>
            <w:tcW w:w="700" w:type="dxa"/>
            <w:tcMar>
              <w:top w:w="0" w:type="dxa"/>
              <w:bottom w:w="0" w:type="dxa"/>
            </w:tcMar>
            <w:vAlign w:val="center"/>
          </w:tcPr>
          <w:p w14:paraId="59D1A3DC" w14:textId="77777777" w:rsidR="00105561" w:rsidRDefault="00000000">
            <w:pPr>
              <w:keepNext/>
              <w:keepLines/>
              <w:spacing w:after="0" w:line="240" w:lineRule="auto"/>
              <w:jc w:val="right"/>
            </w:pPr>
            <w:r>
              <w:rPr>
                <w:sz w:val="18"/>
              </w:rPr>
              <w:t>95,7</w:t>
            </w:r>
          </w:p>
        </w:tc>
      </w:tr>
    </w:tbl>
    <w:p w14:paraId="2F29B97F" w14:textId="77777777" w:rsidR="00105561" w:rsidRDefault="00105561">
      <w:pPr>
        <w:spacing w:after="0"/>
      </w:pPr>
    </w:p>
    <w:p w14:paraId="6EBE0EE2" w14:textId="77777777" w:rsidR="00105561" w:rsidRDefault="00000000">
      <w:pPr>
        <w:jc w:val="both"/>
      </w:pPr>
      <w:r>
        <w:t>Ostali nespomenuti prihodi najvećim dijelom se odnose na participaciju studenata u troškovima školarine i s njima povezanim troškovima i manji su za 4,3 % u odnosu na prethodnu godinu. Prihodi od školarina se vremenski razgraničavaju. Struktura ovih prihoda izgleda kako slijedi:</w:t>
      </w:r>
    </w:p>
    <w:tbl>
      <w:tblPr>
        <w:tblStyle w:val="TableGrid"/>
        <w:tblW w:w="5000" w:type="pct"/>
        <w:tblLook w:val="04A0" w:firstRow="1" w:lastRow="0" w:firstColumn="1" w:lastColumn="0" w:noHBand="0" w:noVBand="1"/>
      </w:tblPr>
      <w:tblGrid>
        <w:gridCol w:w="990"/>
        <w:gridCol w:w="2972"/>
        <w:gridCol w:w="1699"/>
        <w:gridCol w:w="1699"/>
        <w:gridCol w:w="1702"/>
      </w:tblGrid>
      <w:tr w:rsidR="00105561" w14:paraId="377104B8" w14:textId="77777777">
        <w:trPr>
          <w:trHeight w:val="542"/>
        </w:trPr>
        <w:tc>
          <w:tcPr>
            <w:tcW w:w="298" w:type="pct"/>
            <w:vAlign w:val="center"/>
          </w:tcPr>
          <w:p w14:paraId="0C4DD476" w14:textId="77777777" w:rsidR="00105561" w:rsidRDefault="00000000">
            <w:pPr>
              <w:keepNext/>
              <w:jc w:val="center"/>
            </w:pPr>
            <w:r>
              <w:rPr>
                <w:b/>
              </w:rPr>
              <w:t>Red.br.</w:t>
            </w:r>
          </w:p>
        </w:tc>
        <w:tc>
          <w:tcPr>
            <w:tcW w:w="1701" w:type="pct"/>
            <w:vAlign w:val="center"/>
          </w:tcPr>
          <w:p w14:paraId="20DC7D20" w14:textId="77777777" w:rsidR="00105561" w:rsidRDefault="00000000">
            <w:pPr>
              <w:keepNext/>
              <w:jc w:val="center"/>
            </w:pPr>
            <w:r>
              <w:rPr>
                <w:b/>
              </w:rPr>
              <w:t>Opis</w:t>
            </w:r>
          </w:p>
        </w:tc>
        <w:tc>
          <w:tcPr>
            <w:tcW w:w="999" w:type="pct"/>
            <w:vAlign w:val="center"/>
          </w:tcPr>
          <w:p w14:paraId="45B8E853" w14:textId="77777777" w:rsidR="00105561" w:rsidRDefault="00000000">
            <w:pPr>
              <w:keepNext/>
              <w:jc w:val="center"/>
            </w:pPr>
            <w:r>
              <w:rPr>
                <w:b/>
              </w:rPr>
              <w:t>2024.</w:t>
            </w:r>
          </w:p>
        </w:tc>
        <w:tc>
          <w:tcPr>
            <w:tcW w:w="999" w:type="pct"/>
            <w:vAlign w:val="center"/>
          </w:tcPr>
          <w:p w14:paraId="61B59EBA" w14:textId="77777777" w:rsidR="00105561" w:rsidRDefault="00000000">
            <w:pPr>
              <w:keepNext/>
              <w:jc w:val="center"/>
            </w:pPr>
            <w:r>
              <w:rPr>
                <w:b/>
              </w:rPr>
              <w:t>2025.</w:t>
            </w:r>
          </w:p>
        </w:tc>
        <w:tc>
          <w:tcPr>
            <w:tcW w:w="1000" w:type="pct"/>
            <w:vAlign w:val="center"/>
          </w:tcPr>
          <w:p w14:paraId="0F9738F7" w14:textId="77777777" w:rsidR="00105561" w:rsidRDefault="00000000">
            <w:pPr>
              <w:keepNext/>
              <w:jc w:val="center"/>
            </w:pPr>
            <w:r>
              <w:rPr>
                <w:b/>
              </w:rPr>
              <w:t>Indeks</w:t>
            </w:r>
          </w:p>
        </w:tc>
      </w:tr>
      <w:tr w:rsidR="00105561" w14:paraId="456B5EAB" w14:textId="77777777">
        <w:trPr>
          <w:trHeight w:val="542"/>
        </w:trPr>
        <w:tc>
          <w:tcPr>
            <w:tcW w:w="298" w:type="pct"/>
            <w:vAlign w:val="center"/>
          </w:tcPr>
          <w:p w14:paraId="05CEC809" w14:textId="77777777" w:rsidR="00105561" w:rsidRDefault="00000000">
            <w:r>
              <w:t>1.</w:t>
            </w:r>
          </w:p>
        </w:tc>
        <w:tc>
          <w:tcPr>
            <w:tcW w:w="1701" w:type="pct"/>
            <w:vAlign w:val="center"/>
          </w:tcPr>
          <w:p w14:paraId="68DCB5CB" w14:textId="77777777" w:rsidR="00105561" w:rsidRDefault="00000000">
            <w:r>
              <w:t>Školarine redovni studij</w:t>
            </w:r>
          </w:p>
        </w:tc>
        <w:tc>
          <w:tcPr>
            <w:tcW w:w="999" w:type="pct"/>
            <w:vAlign w:val="center"/>
          </w:tcPr>
          <w:p w14:paraId="7637133F" w14:textId="77777777" w:rsidR="00105561" w:rsidRDefault="00000000">
            <w:pPr>
              <w:keepNext/>
              <w:jc w:val="right"/>
            </w:pPr>
            <w:r>
              <w:t>224.192,77</w:t>
            </w:r>
          </w:p>
        </w:tc>
        <w:tc>
          <w:tcPr>
            <w:tcW w:w="999" w:type="pct"/>
            <w:vAlign w:val="center"/>
          </w:tcPr>
          <w:p w14:paraId="39EA444F" w14:textId="77777777" w:rsidR="00105561" w:rsidRDefault="00000000">
            <w:pPr>
              <w:keepNext/>
              <w:jc w:val="right"/>
            </w:pPr>
            <w:r>
              <w:t>232.797,94</w:t>
            </w:r>
          </w:p>
        </w:tc>
        <w:tc>
          <w:tcPr>
            <w:tcW w:w="1000" w:type="pct"/>
            <w:vAlign w:val="center"/>
          </w:tcPr>
          <w:p w14:paraId="6B4B5E3E" w14:textId="77777777" w:rsidR="00105561" w:rsidRDefault="00000000">
            <w:pPr>
              <w:keepNext/>
              <w:jc w:val="right"/>
            </w:pPr>
            <w:r>
              <w:t>103,83</w:t>
            </w:r>
          </w:p>
        </w:tc>
      </w:tr>
      <w:tr w:rsidR="00105561" w14:paraId="39CDCB00" w14:textId="77777777">
        <w:trPr>
          <w:trHeight w:val="542"/>
        </w:trPr>
        <w:tc>
          <w:tcPr>
            <w:tcW w:w="298" w:type="pct"/>
            <w:vAlign w:val="center"/>
          </w:tcPr>
          <w:p w14:paraId="431BA08F" w14:textId="77777777" w:rsidR="00105561" w:rsidRDefault="00000000">
            <w:r>
              <w:t>2.</w:t>
            </w:r>
          </w:p>
        </w:tc>
        <w:tc>
          <w:tcPr>
            <w:tcW w:w="1701" w:type="pct"/>
            <w:vAlign w:val="center"/>
          </w:tcPr>
          <w:p w14:paraId="15EB7102" w14:textId="77777777" w:rsidR="00105561" w:rsidRDefault="00000000">
            <w:r>
              <w:t>Školarine izvanredni studij</w:t>
            </w:r>
          </w:p>
        </w:tc>
        <w:tc>
          <w:tcPr>
            <w:tcW w:w="999" w:type="pct"/>
            <w:vAlign w:val="center"/>
          </w:tcPr>
          <w:p w14:paraId="045B1227" w14:textId="77777777" w:rsidR="00105561" w:rsidRDefault="00000000">
            <w:pPr>
              <w:keepNext/>
              <w:jc w:val="right"/>
            </w:pPr>
            <w:r>
              <w:t>361.359,79</w:t>
            </w:r>
          </w:p>
        </w:tc>
        <w:tc>
          <w:tcPr>
            <w:tcW w:w="999" w:type="pct"/>
            <w:vAlign w:val="center"/>
          </w:tcPr>
          <w:p w14:paraId="34D40D07" w14:textId="77777777" w:rsidR="00105561" w:rsidRDefault="00000000">
            <w:pPr>
              <w:keepNext/>
              <w:jc w:val="right"/>
            </w:pPr>
            <w:r>
              <w:t>366.383,94</w:t>
            </w:r>
          </w:p>
        </w:tc>
        <w:tc>
          <w:tcPr>
            <w:tcW w:w="1000" w:type="pct"/>
            <w:vAlign w:val="center"/>
          </w:tcPr>
          <w:p w14:paraId="46049B7C" w14:textId="77777777" w:rsidR="00105561" w:rsidRDefault="00000000">
            <w:pPr>
              <w:keepNext/>
              <w:jc w:val="right"/>
            </w:pPr>
            <w:r>
              <w:t>101,39</w:t>
            </w:r>
          </w:p>
        </w:tc>
      </w:tr>
      <w:tr w:rsidR="00105561" w14:paraId="29515E72" w14:textId="77777777">
        <w:trPr>
          <w:trHeight w:val="542"/>
        </w:trPr>
        <w:tc>
          <w:tcPr>
            <w:tcW w:w="298" w:type="pct"/>
            <w:vAlign w:val="center"/>
          </w:tcPr>
          <w:p w14:paraId="26F18882" w14:textId="77777777" w:rsidR="00105561" w:rsidRDefault="00000000">
            <w:r>
              <w:t>3.</w:t>
            </w:r>
          </w:p>
        </w:tc>
        <w:tc>
          <w:tcPr>
            <w:tcW w:w="1701" w:type="pct"/>
            <w:vAlign w:val="center"/>
          </w:tcPr>
          <w:p w14:paraId="1B0E9DF9" w14:textId="77777777" w:rsidR="00105561" w:rsidRDefault="00000000">
            <w:r>
              <w:t>Školarine razlikovni studij</w:t>
            </w:r>
          </w:p>
        </w:tc>
        <w:tc>
          <w:tcPr>
            <w:tcW w:w="999" w:type="pct"/>
            <w:vAlign w:val="center"/>
          </w:tcPr>
          <w:p w14:paraId="1ACF1C85" w14:textId="77777777" w:rsidR="00105561" w:rsidRDefault="00000000">
            <w:pPr>
              <w:keepNext/>
              <w:jc w:val="right"/>
            </w:pPr>
            <w:r>
              <w:t>1.958,00</w:t>
            </w:r>
          </w:p>
        </w:tc>
        <w:tc>
          <w:tcPr>
            <w:tcW w:w="999" w:type="pct"/>
            <w:vAlign w:val="center"/>
          </w:tcPr>
          <w:p w14:paraId="1685E399" w14:textId="77777777" w:rsidR="00105561" w:rsidRDefault="00000000">
            <w:pPr>
              <w:keepNext/>
              <w:jc w:val="right"/>
            </w:pPr>
            <w:r>
              <w:t>109,98</w:t>
            </w:r>
          </w:p>
        </w:tc>
        <w:tc>
          <w:tcPr>
            <w:tcW w:w="1000" w:type="pct"/>
            <w:vAlign w:val="center"/>
          </w:tcPr>
          <w:p w14:paraId="297930C9" w14:textId="77777777" w:rsidR="00105561" w:rsidRDefault="00000000">
            <w:pPr>
              <w:keepNext/>
              <w:jc w:val="right"/>
            </w:pPr>
            <w:r>
              <w:t>5,61</w:t>
            </w:r>
          </w:p>
        </w:tc>
      </w:tr>
      <w:tr w:rsidR="00105561" w14:paraId="5000B042" w14:textId="77777777">
        <w:trPr>
          <w:trHeight w:val="542"/>
        </w:trPr>
        <w:tc>
          <w:tcPr>
            <w:tcW w:w="298" w:type="pct"/>
            <w:vAlign w:val="center"/>
          </w:tcPr>
          <w:p w14:paraId="31A10392" w14:textId="77777777" w:rsidR="00105561" w:rsidRDefault="00000000">
            <w:r>
              <w:lastRenderedPageBreak/>
              <w:t>4.</w:t>
            </w:r>
          </w:p>
        </w:tc>
        <w:tc>
          <w:tcPr>
            <w:tcW w:w="1701" w:type="pct"/>
            <w:vAlign w:val="center"/>
          </w:tcPr>
          <w:p w14:paraId="0912CECF" w14:textId="77777777" w:rsidR="00105561" w:rsidRDefault="00000000">
            <w:r>
              <w:t>Školarine doktorski studij</w:t>
            </w:r>
          </w:p>
        </w:tc>
        <w:tc>
          <w:tcPr>
            <w:tcW w:w="999" w:type="pct"/>
            <w:vAlign w:val="center"/>
          </w:tcPr>
          <w:p w14:paraId="31949BB7" w14:textId="77777777" w:rsidR="00105561" w:rsidRDefault="00000000">
            <w:pPr>
              <w:keepNext/>
              <w:jc w:val="right"/>
            </w:pPr>
            <w:r>
              <w:t>57.350,15</w:t>
            </w:r>
          </w:p>
        </w:tc>
        <w:tc>
          <w:tcPr>
            <w:tcW w:w="999" w:type="pct"/>
            <w:vAlign w:val="center"/>
          </w:tcPr>
          <w:p w14:paraId="2D267E05" w14:textId="77777777" w:rsidR="00105561" w:rsidRDefault="00000000">
            <w:pPr>
              <w:keepNext/>
              <w:jc w:val="right"/>
            </w:pPr>
            <w:r>
              <w:t>65.258,07</w:t>
            </w:r>
          </w:p>
        </w:tc>
        <w:tc>
          <w:tcPr>
            <w:tcW w:w="1000" w:type="pct"/>
            <w:vAlign w:val="center"/>
          </w:tcPr>
          <w:p w14:paraId="38BD44AF" w14:textId="77777777" w:rsidR="00105561" w:rsidRDefault="00000000">
            <w:pPr>
              <w:keepNext/>
              <w:jc w:val="right"/>
            </w:pPr>
            <w:r>
              <w:t>113,78</w:t>
            </w:r>
          </w:p>
        </w:tc>
      </w:tr>
      <w:tr w:rsidR="00105561" w14:paraId="0E391BC4" w14:textId="77777777">
        <w:trPr>
          <w:trHeight w:val="542"/>
        </w:trPr>
        <w:tc>
          <w:tcPr>
            <w:tcW w:w="298" w:type="pct"/>
            <w:vAlign w:val="center"/>
          </w:tcPr>
          <w:p w14:paraId="4576C724" w14:textId="77777777" w:rsidR="00105561" w:rsidRDefault="00000000">
            <w:r>
              <w:t>5.</w:t>
            </w:r>
          </w:p>
        </w:tc>
        <w:tc>
          <w:tcPr>
            <w:tcW w:w="1701" w:type="pct"/>
            <w:vAlign w:val="center"/>
          </w:tcPr>
          <w:p w14:paraId="78C290E2" w14:textId="77777777" w:rsidR="00105561" w:rsidRDefault="00000000">
            <w:r>
              <w:t>Upisnine</w:t>
            </w:r>
          </w:p>
        </w:tc>
        <w:tc>
          <w:tcPr>
            <w:tcW w:w="999" w:type="pct"/>
            <w:vAlign w:val="center"/>
          </w:tcPr>
          <w:p w14:paraId="5B3D2204" w14:textId="77777777" w:rsidR="00105561" w:rsidRDefault="00000000">
            <w:pPr>
              <w:keepNext/>
              <w:jc w:val="right"/>
            </w:pPr>
            <w:r>
              <w:t>19.954,05</w:t>
            </w:r>
          </w:p>
        </w:tc>
        <w:tc>
          <w:tcPr>
            <w:tcW w:w="999" w:type="pct"/>
            <w:vAlign w:val="center"/>
          </w:tcPr>
          <w:p w14:paraId="534ECD4B" w14:textId="77777777" w:rsidR="00105561" w:rsidRDefault="00000000">
            <w:pPr>
              <w:keepNext/>
              <w:jc w:val="right"/>
            </w:pPr>
            <w:r>
              <w:t>20.870,82</w:t>
            </w:r>
          </w:p>
        </w:tc>
        <w:tc>
          <w:tcPr>
            <w:tcW w:w="1000" w:type="pct"/>
            <w:vAlign w:val="center"/>
          </w:tcPr>
          <w:p w14:paraId="112687EC" w14:textId="77777777" w:rsidR="00105561" w:rsidRDefault="00000000">
            <w:pPr>
              <w:keepNext/>
              <w:jc w:val="right"/>
            </w:pPr>
            <w:r>
              <w:t>110,51</w:t>
            </w:r>
          </w:p>
        </w:tc>
      </w:tr>
      <w:tr w:rsidR="00105561" w14:paraId="43E70877" w14:textId="77777777">
        <w:trPr>
          <w:trHeight w:val="542"/>
        </w:trPr>
        <w:tc>
          <w:tcPr>
            <w:tcW w:w="298" w:type="pct"/>
            <w:vAlign w:val="center"/>
          </w:tcPr>
          <w:p w14:paraId="3FEAD611" w14:textId="77777777" w:rsidR="00105561" w:rsidRDefault="00000000">
            <w:r>
              <w:t>6.</w:t>
            </w:r>
          </w:p>
        </w:tc>
        <w:tc>
          <w:tcPr>
            <w:tcW w:w="1701" w:type="pct"/>
            <w:vAlign w:val="center"/>
          </w:tcPr>
          <w:p w14:paraId="2F2315EE" w14:textId="77777777" w:rsidR="00105561" w:rsidRDefault="00000000">
            <w:r>
              <w:t>Diplome, uvjerenja i sl. </w:t>
            </w:r>
          </w:p>
        </w:tc>
        <w:tc>
          <w:tcPr>
            <w:tcW w:w="999" w:type="pct"/>
            <w:vAlign w:val="center"/>
          </w:tcPr>
          <w:p w14:paraId="700D1770" w14:textId="77777777" w:rsidR="00105561" w:rsidRDefault="00000000">
            <w:pPr>
              <w:keepNext/>
              <w:jc w:val="right"/>
            </w:pPr>
            <w:r>
              <w:t>7.008,68</w:t>
            </w:r>
          </w:p>
        </w:tc>
        <w:tc>
          <w:tcPr>
            <w:tcW w:w="999" w:type="pct"/>
            <w:vAlign w:val="center"/>
          </w:tcPr>
          <w:p w14:paraId="41490492" w14:textId="77777777" w:rsidR="00105561" w:rsidRDefault="00000000">
            <w:pPr>
              <w:keepNext/>
              <w:jc w:val="right"/>
            </w:pPr>
            <w:r>
              <w:t>6.337,10</w:t>
            </w:r>
          </w:p>
        </w:tc>
        <w:tc>
          <w:tcPr>
            <w:tcW w:w="1000" w:type="pct"/>
            <w:vAlign w:val="center"/>
          </w:tcPr>
          <w:p w14:paraId="294129A3" w14:textId="77777777" w:rsidR="00105561" w:rsidRDefault="00000000">
            <w:pPr>
              <w:keepNext/>
              <w:jc w:val="right"/>
            </w:pPr>
            <w:r>
              <w:t>90,41</w:t>
            </w:r>
          </w:p>
        </w:tc>
      </w:tr>
      <w:tr w:rsidR="00105561" w14:paraId="4CF72C3F" w14:textId="77777777">
        <w:trPr>
          <w:trHeight w:val="542"/>
        </w:trPr>
        <w:tc>
          <w:tcPr>
            <w:tcW w:w="298" w:type="pct"/>
            <w:vAlign w:val="center"/>
          </w:tcPr>
          <w:p w14:paraId="113C8431" w14:textId="77777777" w:rsidR="00105561" w:rsidRDefault="00000000">
            <w:r>
              <w:t>7.</w:t>
            </w:r>
          </w:p>
        </w:tc>
        <w:tc>
          <w:tcPr>
            <w:tcW w:w="1701" w:type="pct"/>
            <w:vAlign w:val="center"/>
          </w:tcPr>
          <w:p w14:paraId="59A7FFCD" w14:textId="77777777" w:rsidR="00105561" w:rsidRDefault="00000000">
            <w:r>
              <w:t>Naknade šteta i refundacija</w:t>
            </w:r>
          </w:p>
        </w:tc>
        <w:tc>
          <w:tcPr>
            <w:tcW w:w="999" w:type="pct"/>
            <w:vAlign w:val="center"/>
          </w:tcPr>
          <w:p w14:paraId="1D0D3790" w14:textId="77777777" w:rsidR="00105561" w:rsidRDefault="00000000">
            <w:pPr>
              <w:keepNext/>
              <w:jc w:val="right"/>
            </w:pPr>
            <w:r>
              <w:t>1.117,14</w:t>
            </w:r>
          </w:p>
        </w:tc>
        <w:tc>
          <w:tcPr>
            <w:tcW w:w="999" w:type="pct"/>
            <w:vAlign w:val="center"/>
          </w:tcPr>
          <w:p w14:paraId="1F194BDB" w14:textId="77777777" w:rsidR="00105561" w:rsidRDefault="00000000">
            <w:pPr>
              <w:keepNext/>
              <w:jc w:val="right"/>
            </w:pPr>
            <w:r>
              <w:t>1.177,07</w:t>
            </w:r>
          </w:p>
        </w:tc>
        <w:tc>
          <w:tcPr>
            <w:tcW w:w="1000" w:type="pct"/>
            <w:vAlign w:val="center"/>
          </w:tcPr>
          <w:p w14:paraId="287FE168" w14:textId="77777777" w:rsidR="00105561" w:rsidRDefault="00000000">
            <w:pPr>
              <w:keepNext/>
              <w:jc w:val="right"/>
            </w:pPr>
            <w:r>
              <w:t>105,36</w:t>
            </w:r>
          </w:p>
        </w:tc>
      </w:tr>
      <w:tr w:rsidR="00105561" w14:paraId="6DB13CE4" w14:textId="77777777">
        <w:trPr>
          <w:trHeight w:val="542"/>
        </w:trPr>
        <w:tc>
          <w:tcPr>
            <w:tcW w:w="298" w:type="pct"/>
            <w:vAlign w:val="center"/>
          </w:tcPr>
          <w:p w14:paraId="41694215" w14:textId="77777777" w:rsidR="00105561" w:rsidRDefault="00000000">
            <w:r>
              <w:t>8.</w:t>
            </w:r>
          </w:p>
        </w:tc>
        <w:tc>
          <w:tcPr>
            <w:tcW w:w="1701" w:type="pct"/>
            <w:vAlign w:val="center"/>
          </w:tcPr>
          <w:p w14:paraId="7E18E742" w14:textId="77777777" w:rsidR="00105561" w:rsidRDefault="00000000">
            <w:r>
              <w:t>Poseban program obrazovanja - cjeloživotno</w:t>
            </w:r>
          </w:p>
        </w:tc>
        <w:tc>
          <w:tcPr>
            <w:tcW w:w="999" w:type="pct"/>
            <w:vAlign w:val="center"/>
          </w:tcPr>
          <w:p w14:paraId="1C6CC1B2" w14:textId="77777777" w:rsidR="00105561" w:rsidRDefault="00000000">
            <w:pPr>
              <w:keepNext/>
              <w:jc w:val="right"/>
            </w:pPr>
            <w:r>
              <w:t>184.099,82</w:t>
            </w:r>
          </w:p>
        </w:tc>
        <w:tc>
          <w:tcPr>
            <w:tcW w:w="999" w:type="pct"/>
            <w:vAlign w:val="center"/>
          </w:tcPr>
          <w:p w14:paraId="134F80BD" w14:textId="77777777" w:rsidR="00105561" w:rsidRDefault="00000000">
            <w:pPr>
              <w:keepNext/>
              <w:jc w:val="right"/>
            </w:pPr>
            <w:r>
              <w:t>127.577,77</w:t>
            </w:r>
          </w:p>
        </w:tc>
        <w:tc>
          <w:tcPr>
            <w:tcW w:w="1000" w:type="pct"/>
            <w:vAlign w:val="center"/>
          </w:tcPr>
          <w:p w14:paraId="6C0A998A" w14:textId="77777777" w:rsidR="00105561" w:rsidRDefault="00000000">
            <w:pPr>
              <w:keepNext/>
              <w:jc w:val="right"/>
            </w:pPr>
            <w:r>
              <w:t>69,29</w:t>
            </w:r>
          </w:p>
        </w:tc>
      </w:tr>
      <w:tr w:rsidR="00105561" w14:paraId="629508A2" w14:textId="77777777">
        <w:trPr>
          <w:trHeight w:val="542"/>
        </w:trPr>
        <w:tc>
          <w:tcPr>
            <w:tcW w:w="298" w:type="pct"/>
            <w:vAlign w:val="center"/>
          </w:tcPr>
          <w:p w14:paraId="4379D71C" w14:textId="77777777" w:rsidR="00105561" w:rsidRDefault="00000000">
            <w:r>
              <w:t> </w:t>
            </w:r>
          </w:p>
        </w:tc>
        <w:tc>
          <w:tcPr>
            <w:tcW w:w="1701" w:type="pct"/>
            <w:vAlign w:val="center"/>
          </w:tcPr>
          <w:p w14:paraId="343E36BF" w14:textId="77777777" w:rsidR="00105561" w:rsidRDefault="00000000">
            <w:r>
              <w:rPr>
                <w:b/>
              </w:rPr>
              <w:t>UKUPNO:</w:t>
            </w:r>
          </w:p>
        </w:tc>
        <w:tc>
          <w:tcPr>
            <w:tcW w:w="999" w:type="pct"/>
            <w:vAlign w:val="center"/>
          </w:tcPr>
          <w:p w14:paraId="51C7149A" w14:textId="77777777" w:rsidR="00105561" w:rsidRDefault="00000000">
            <w:pPr>
              <w:keepNext/>
              <w:jc w:val="right"/>
            </w:pPr>
            <w:r>
              <w:rPr>
                <w:b/>
              </w:rPr>
              <w:t>857.050,43</w:t>
            </w:r>
          </w:p>
        </w:tc>
        <w:tc>
          <w:tcPr>
            <w:tcW w:w="999" w:type="pct"/>
            <w:vAlign w:val="center"/>
          </w:tcPr>
          <w:p w14:paraId="5D6E4244" w14:textId="77777777" w:rsidR="00105561" w:rsidRDefault="00000000">
            <w:pPr>
              <w:keepNext/>
              <w:jc w:val="right"/>
            </w:pPr>
            <w:r>
              <w:rPr>
                <w:b/>
              </w:rPr>
              <w:t>820.512,69</w:t>
            </w:r>
          </w:p>
        </w:tc>
        <w:tc>
          <w:tcPr>
            <w:tcW w:w="1000" w:type="pct"/>
            <w:vAlign w:val="center"/>
          </w:tcPr>
          <w:p w14:paraId="69F1213D" w14:textId="77777777" w:rsidR="00105561" w:rsidRDefault="00000000">
            <w:pPr>
              <w:keepNext/>
              <w:jc w:val="right"/>
            </w:pPr>
            <w:r>
              <w:rPr>
                <w:b/>
              </w:rPr>
              <w:t>95,73</w:t>
            </w:r>
          </w:p>
        </w:tc>
      </w:tr>
    </w:tbl>
    <w:p w14:paraId="0A792923" w14:textId="77777777" w:rsidR="00105561" w:rsidRDefault="00000000">
      <w:pPr>
        <w:jc w:val="both"/>
      </w:pPr>
      <w:r>
        <w:t>Prihodi od posebnog programa obrazovanja manji su u odnosu na 2024. godinu zbog manjeg broja upisanih polaznika.  S obzirom da se ovi prihodi vremenski razgraničavaju, 3/4 prihoda ostvarenih u 2024. godini iskazano je u 2025. godini. </w:t>
      </w:r>
    </w:p>
    <w:p w14:paraId="652BE7F9" w14:textId="77777777" w:rsidR="00105561" w:rsidRDefault="00000000">
      <w:pPr>
        <w:jc w:val="both"/>
      </w:pPr>
      <w:r>
        <w:t>U akademsku godinu 2025./2026. upisalo se 1.268 studenta od toga 884 redovitih koji plaćaju školarinu linearno (od 0 do 1.100,00 eura) i 384 izvanrednih koji plaćaju puni iznos školarine u iznosu od 1.100,00 eura,  dok se prethodne akademske godine upisalo 1.303 studenta od toga 895 redovitih i 408 izvanrednih studenata (školarina je tad iznosila 979,00 eura).  </w:t>
      </w:r>
    </w:p>
    <w:p w14:paraId="606F2781" w14:textId="77777777" w:rsidR="00105561" w:rsidRDefault="00105561"/>
    <w:p w14:paraId="234B56DB" w14:textId="77777777" w:rsidR="00105561" w:rsidRDefault="00000000">
      <w:pPr>
        <w:keepNext/>
        <w:spacing w:line="240" w:lineRule="auto"/>
        <w:jc w:val="center"/>
      </w:pPr>
      <w:r>
        <w:rPr>
          <w:sz w:val="28"/>
        </w:rPr>
        <w:t>Bilješka 10.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05561" w14:paraId="09796A1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C4FE4FB" w14:textId="77777777" w:rsidR="00105561"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010275B" w14:textId="77777777" w:rsidR="00105561"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6C2B469" w14:textId="77777777" w:rsidR="00105561"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68FFEA1" w14:textId="77777777" w:rsidR="00105561"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D284233" w14:textId="77777777" w:rsidR="00105561"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C8084F5" w14:textId="77777777" w:rsidR="00105561" w:rsidRDefault="00000000">
            <w:pPr>
              <w:keepNext/>
              <w:keepLines/>
              <w:spacing w:after="0" w:line="240" w:lineRule="auto"/>
              <w:jc w:val="center"/>
            </w:pPr>
            <w:r>
              <w:rPr>
                <w:b/>
                <w:sz w:val="18"/>
              </w:rPr>
              <w:t>Indeks (%)</w:t>
            </w:r>
          </w:p>
        </w:tc>
      </w:tr>
      <w:tr w:rsidR="00105561" w14:paraId="5497695B" w14:textId="77777777">
        <w:tblPrEx>
          <w:tblCellMar>
            <w:top w:w="0" w:type="dxa"/>
            <w:bottom w:w="0" w:type="dxa"/>
          </w:tblCellMar>
        </w:tblPrEx>
        <w:trPr>
          <w:cantSplit/>
          <w:trHeight w:val="560"/>
        </w:trPr>
        <w:tc>
          <w:tcPr>
            <w:tcW w:w="700" w:type="dxa"/>
            <w:tcMar>
              <w:top w:w="0" w:type="dxa"/>
              <w:bottom w:w="0" w:type="dxa"/>
            </w:tcMar>
            <w:vAlign w:val="center"/>
          </w:tcPr>
          <w:p w14:paraId="11E7F250" w14:textId="77777777" w:rsidR="00105561" w:rsidRDefault="00000000">
            <w:pPr>
              <w:keepNext/>
              <w:keepLines/>
              <w:spacing w:after="0" w:line="240" w:lineRule="auto"/>
            </w:pPr>
            <w:r>
              <w:rPr>
                <w:sz w:val="18"/>
              </w:rPr>
              <w:t>661</w:t>
            </w:r>
          </w:p>
        </w:tc>
        <w:tc>
          <w:tcPr>
            <w:tcW w:w="3180" w:type="dxa"/>
            <w:tcMar>
              <w:top w:w="0" w:type="dxa"/>
              <w:bottom w:w="0" w:type="dxa"/>
            </w:tcMar>
            <w:vAlign w:val="center"/>
          </w:tcPr>
          <w:p w14:paraId="0A47A781" w14:textId="77777777" w:rsidR="00105561" w:rsidRDefault="00000000">
            <w:pPr>
              <w:keepNext/>
              <w:keepLines/>
              <w:spacing w:after="0" w:line="240" w:lineRule="auto"/>
            </w:pPr>
            <w:r>
              <w:rPr>
                <w:sz w:val="18"/>
              </w:rPr>
              <w:t>Prihodi od prodaje proizvoda i robe te pruženih usluga (šifre 6614+6615)</w:t>
            </w:r>
          </w:p>
        </w:tc>
        <w:tc>
          <w:tcPr>
            <w:tcW w:w="700" w:type="dxa"/>
            <w:tcMar>
              <w:top w:w="0" w:type="dxa"/>
              <w:bottom w:w="0" w:type="dxa"/>
            </w:tcMar>
            <w:vAlign w:val="center"/>
          </w:tcPr>
          <w:p w14:paraId="79F1BB6E" w14:textId="77777777" w:rsidR="00105561" w:rsidRDefault="00000000">
            <w:pPr>
              <w:keepNext/>
              <w:keepLines/>
              <w:spacing w:after="0" w:line="240" w:lineRule="auto"/>
            </w:pPr>
            <w:r>
              <w:rPr>
                <w:sz w:val="18"/>
              </w:rPr>
              <w:t>661</w:t>
            </w:r>
          </w:p>
        </w:tc>
        <w:tc>
          <w:tcPr>
            <w:tcW w:w="1860" w:type="dxa"/>
            <w:tcMar>
              <w:top w:w="0" w:type="dxa"/>
              <w:bottom w:w="0" w:type="dxa"/>
            </w:tcMar>
            <w:vAlign w:val="center"/>
          </w:tcPr>
          <w:p w14:paraId="49B0544F" w14:textId="77777777" w:rsidR="00105561" w:rsidRDefault="00000000">
            <w:pPr>
              <w:keepNext/>
              <w:keepLines/>
              <w:spacing w:after="0" w:line="240" w:lineRule="auto"/>
              <w:jc w:val="right"/>
            </w:pPr>
            <w:r>
              <w:rPr>
                <w:sz w:val="18"/>
              </w:rPr>
              <w:t>604.943,93</w:t>
            </w:r>
          </w:p>
        </w:tc>
        <w:tc>
          <w:tcPr>
            <w:tcW w:w="1860" w:type="dxa"/>
            <w:tcMar>
              <w:top w:w="0" w:type="dxa"/>
              <w:bottom w:w="0" w:type="dxa"/>
            </w:tcMar>
            <w:vAlign w:val="center"/>
          </w:tcPr>
          <w:p w14:paraId="0C9F4387" w14:textId="77777777" w:rsidR="00105561" w:rsidRDefault="00000000">
            <w:pPr>
              <w:keepNext/>
              <w:keepLines/>
              <w:spacing w:after="0" w:line="240" w:lineRule="auto"/>
              <w:jc w:val="right"/>
            </w:pPr>
            <w:r>
              <w:rPr>
                <w:sz w:val="18"/>
              </w:rPr>
              <w:t>631.442,48</w:t>
            </w:r>
          </w:p>
        </w:tc>
        <w:tc>
          <w:tcPr>
            <w:tcW w:w="700" w:type="dxa"/>
            <w:tcMar>
              <w:top w:w="0" w:type="dxa"/>
              <w:bottom w:w="0" w:type="dxa"/>
            </w:tcMar>
            <w:vAlign w:val="center"/>
          </w:tcPr>
          <w:p w14:paraId="54EE49F0" w14:textId="77777777" w:rsidR="00105561" w:rsidRDefault="00000000">
            <w:pPr>
              <w:keepNext/>
              <w:keepLines/>
              <w:spacing w:after="0" w:line="240" w:lineRule="auto"/>
              <w:jc w:val="right"/>
            </w:pPr>
            <w:r>
              <w:rPr>
                <w:sz w:val="18"/>
              </w:rPr>
              <w:t>104,4</w:t>
            </w:r>
          </w:p>
        </w:tc>
      </w:tr>
    </w:tbl>
    <w:p w14:paraId="4FB1BAD9" w14:textId="77777777" w:rsidR="00105561" w:rsidRDefault="00105561">
      <w:pPr>
        <w:spacing w:after="0"/>
      </w:pPr>
    </w:p>
    <w:p w14:paraId="7059FB29" w14:textId="77777777" w:rsidR="00105561" w:rsidRDefault="00000000">
      <w:r>
        <w:t>Prihodi od prodaje roba i pruženih usluga iznose 630.664,08 eura i veći su za 4,5% nego prethodne godine. </w:t>
      </w:r>
    </w:p>
    <w:tbl>
      <w:tblPr>
        <w:tblStyle w:val="TableGrid"/>
        <w:tblW w:w="5000" w:type="pct"/>
        <w:tblLook w:val="04A0" w:firstRow="1" w:lastRow="0" w:firstColumn="1" w:lastColumn="0" w:noHBand="0" w:noVBand="1"/>
      </w:tblPr>
      <w:tblGrid>
        <w:gridCol w:w="690"/>
        <w:gridCol w:w="2988"/>
        <w:gridCol w:w="1794"/>
        <w:gridCol w:w="1794"/>
        <w:gridCol w:w="1796"/>
      </w:tblGrid>
      <w:tr w:rsidR="00105561" w14:paraId="2E1E0D68" w14:textId="77777777">
        <w:tc>
          <w:tcPr>
            <w:tcW w:w="341" w:type="pct"/>
            <w:vAlign w:val="center"/>
          </w:tcPr>
          <w:p w14:paraId="4705360D" w14:textId="77777777" w:rsidR="00105561" w:rsidRDefault="00000000">
            <w:pPr>
              <w:keepNext/>
              <w:jc w:val="center"/>
            </w:pPr>
            <w:r>
              <w:rPr>
                <w:b/>
              </w:rPr>
              <w:t>Red. br.</w:t>
            </w:r>
          </w:p>
        </w:tc>
        <w:tc>
          <w:tcPr>
            <w:tcW w:w="1658" w:type="pct"/>
            <w:vAlign w:val="center"/>
          </w:tcPr>
          <w:p w14:paraId="2DF768C4" w14:textId="77777777" w:rsidR="00105561" w:rsidRDefault="00000000">
            <w:pPr>
              <w:keepNext/>
              <w:jc w:val="center"/>
            </w:pPr>
            <w:r>
              <w:rPr>
                <w:b/>
              </w:rPr>
              <w:t>Opis</w:t>
            </w:r>
          </w:p>
        </w:tc>
        <w:tc>
          <w:tcPr>
            <w:tcW w:w="999" w:type="pct"/>
            <w:vAlign w:val="center"/>
          </w:tcPr>
          <w:p w14:paraId="077AEB18" w14:textId="77777777" w:rsidR="00105561" w:rsidRDefault="00000000">
            <w:pPr>
              <w:keepNext/>
              <w:jc w:val="center"/>
            </w:pPr>
            <w:r>
              <w:rPr>
                <w:b/>
              </w:rPr>
              <w:t>2024.</w:t>
            </w:r>
          </w:p>
        </w:tc>
        <w:tc>
          <w:tcPr>
            <w:tcW w:w="999" w:type="pct"/>
            <w:vAlign w:val="center"/>
          </w:tcPr>
          <w:p w14:paraId="11999A90" w14:textId="77777777" w:rsidR="00105561" w:rsidRDefault="00000000">
            <w:pPr>
              <w:keepNext/>
              <w:jc w:val="center"/>
            </w:pPr>
            <w:r>
              <w:rPr>
                <w:b/>
              </w:rPr>
              <w:t>2025.</w:t>
            </w:r>
          </w:p>
        </w:tc>
        <w:tc>
          <w:tcPr>
            <w:tcW w:w="1000" w:type="pct"/>
            <w:vAlign w:val="center"/>
          </w:tcPr>
          <w:p w14:paraId="4CCB4B8C" w14:textId="77777777" w:rsidR="00105561" w:rsidRDefault="00000000">
            <w:pPr>
              <w:keepNext/>
              <w:jc w:val="center"/>
            </w:pPr>
            <w:r>
              <w:rPr>
                <w:b/>
              </w:rPr>
              <w:t>Indeks</w:t>
            </w:r>
          </w:p>
        </w:tc>
      </w:tr>
      <w:tr w:rsidR="00105561" w14:paraId="19F457C1" w14:textId="77777777">
        <w:tc>
          <w:tcPr>
            <w:tcW w:w="341" w:type="pct"/>
            <w:vAlign w:val="center"/>
          </w:tcPr>
          <w:p w14:paraId="51F51690" w14:textId="77777777" w:rsidR="00105561" w:rsidRDefault="00000000">
            <w:r>
              <w:t>1.</w:t>
            </w:r>
          </w:p>
        </w:tc>
        <w:tc>
          <w:tcPr>
            <w:tcW w:w="1658" w:type="pct"/>
            <w:vAlign w:val="center"/>
          </w:tcPr>
          <w:p w14:paraId="426F6C9A" w14:textId="77777777" w:rsidR="00105561" w:rsidRDefault="00000000">
            <w:r>
              <w:t>Prihodi od usluga Centra za izobrazbu pomoraca</w:t>
            </w:r>
          </w:p>
        </w:tc>
        <w:tc>
          <w:tcPr>
            <w:tcW w:w="999" w:type="pct"/>
            <w:vAlign w:val="center"/>
          </w:tcPr>
          <w:p w14:paraId="47A62510" w14:textId="77777777" w:rsidR="00105561" w:rsidRDefault="00000000">
            <w:pPr>
              <w:keepNext/>
              <w:jc w:val="right"/>
            </w:pPr>
            <w:r>
              <w:t>247.398,08</w:t>
            </w:r>
          </w:p>
        </w:tc>
        <w:tc>
          <w:tcPr>
            <w:tcW w:w="999" w:type="pct"/>
            <w:vAlign w:val="center"/>
          </w:tcPr>
          <w:p w14:paraId="4BE8BDD7" w14:textId="77777777" w:rsidR="00105561" w:rsidRDefault="00000000">
            <w:pPr>
              <w:keepNext/>
              <w:jc w:val="right"/>
            </w:pPr>
            <w:r>
              <w:t>251.752,59</w:t>
            </w:r>
          </w:p>
        </w:tc>
        <w:tc>
          <w:tcPr>
            <w:tcW w:w="1000" w:type="pct"/>
            <w:vAlign w:val="center"/>
          </w:tcPr>
          <w:p w14:paraId="3AC7B194" w14:textId="77777777" w:rsidR="00105561" w:rsidRDefault="00000000">
            <w:pPr>
              <w:keepNext/>
              <w:jc w:val="right"/>
            </w:pPr>
            <w:r>
              <w:t>101,74</w:t>
            </w:r>
          </w:p>
        </w:tc>
      </w:tr>
      <w:tr w:rsidR="00105561" w14:paraId="635BC1DE" w14:textId="77777777">
        <w:tc>
          <w:tcPr>
            <w:tcW w:w="341" w:type="pct"/>
            <w:vAlign w:val="center"/>
          </w:tcPr>
          <w:p w14:paraId="4DD74A8C" w14:textId="77777777" w:rsidR="00105561" w:rsidRDefault="00000000">
            <w:r>
              <w:t>2.</w:t>
            </w:r>
          </w:p>
        </w:tc>
        <w:tc>
          <w:tcPr>
            <w:tcW w:w="1658" w:type="pct"/>
            <w:vAlign w:val="center"/>
          </w:tcPr>
          <w:p w14:paraId="5753C8FB" w14:textId="77777777" w:rsidR="00105561" w:rsidRDefault="00000000">
            <w:r>
              <w:t>Prihodi od stručnih projekata</w:t>
            </w:r>
          </w:p>
        </w:tc>
        <w:tc>
          <w:tcPr>
            <w:tcW w:w="999" w:type="pct"/>
            <w:vAlign w:val="center"/>
          </w:tcPr>
          <w:p w14:paraId="44522325" w14:textId="77777777" w:rsidR="00105561" w:rsidRDefault="00000000">
            <w:pPr>
              <w:keepNext/>
              <w:jc w:val="right"/>
            </w:pPr>
            <w:r>
              <w:t>323.091,98</w:t>
            </w:r>
          </w:p>
        </w:tc>
        <w:tc>
          <w:tcPr>
            <w:tcW w:w="999" w:type="pct"/>
            <w:vAlign w:val="center"/>
          </w:tcPr>
          <w:p w14:paraId="1E1B13BE" w14:textId="77777777" w:rsidR="00105561" w:rsidRDefault="00000000">
            <w:pPr>
              <w:keepNext/>
              <w:jc w:val="right"/>
            </w:pPr>
            <w:r>
              <w:t>340.794,29</w:t>
            </w:r>
          </w:p>
        </w:tc>
        <w:tc>
          <w:tcPr>
            <w:tcW w:w="1000" w:type="pct"/>
            <w:vAlign w:val="center"/>
          </w:tcPr>
          <w:p w14:paraId="0FD11693" w14:textId="77777777" w:rsidR="00105561" w:rsidRDefault="00000000">
            <w:pPr>
              <w:keepNext/>
              <w:jc w:val="right"/>
            </w:pPr>
            <w:r>
              <w:t>105,47</w:t>
            </w:r>
          </w:p>
        </w:tc>
      </w:tr>
      <w:tr w:rsidR="00105561" w14:paraId="709DF8C0" w14:textId="77777777">
        <w:tc>
          <w:tcPr>
            <w:tcW w:w="341" w:type="pct"/>
            <w:vAlign w:val="center"/>
          </w:tcPr>
          <w:p w14:paraId="522951E4" w14:textId="77777777" w:rsidR="00105561" w:rsidRDefault="00000000">
            <w:r>
              <w:t>3.</w:t>
            </w:r>
          </w:p>
        </w:tc>
        <w:tc>
          <w:tcPr>
            <w:tcW w:w="1658" w:type="pct"/>
            <w:vAlign w:val="center"/>
          </w:tcPr>
          <w:p w14:paraId="1637756B" w14:textId="77777777" w:rsidR="00105561" w:rsidRDefault="00000000">
            <w:r>
              <w:t>Ostali vlastiti prihodi</w:t>
            </w:r>
          </w:p>
        </w:tc>
        <w:tc>
          <w:tcPr>
            <w:tcW w:w="999" w:type="pct"/>
            <w:vAlign w:val="center"/>
          </w:tcPr>
          <w:p w14:paraId="68A03853" w14:textId="77777777" w:rsidR="00105561" w:rsidRDefault="00000000">
            <w:pPr>
              <w:keepNext/>
              <w:jc w:val="right"/>
            </w:pPr>
            <w:r>
              <w:t>5.795,25</w:t>
            </w:r>
          </w:p>
        </w:tc>
        <w:tc>
          <w:tcPr>
            <w:tcW w:w="999" w:type="pct"/>
            <w:vAlign w:val="center"/>
          </w:tcPr>
          <w:p w14:paraId="659DB9AB" w14:textId="77777777" w:rsidR="00105561" w:rsidRDefault="00000000">
            <w:pPr>
              <w:keepNext/>
              <w:jc w:val="right"/>
            </w:pPr>
            <w:r>
              <w:t>4.572,41</w:t>
            </w:r>
          </w:p>
        </w:tc>
        <w:tc>
          <w:tcPr>
            <w:tcW w:w="1000" w:type="pct"/>
            <w:vAlign w:val="center"/>
          </w:tcPr>
          <w:p w14:paraId="6EE8B613" w14:textId="77777777" w:rsidR="00105561" w:rsidRDefault="00000000">
            <w:pPr>
              <w:keepNext/>
              <w:jc w:val="right"/>
            </w:pPr>
            <w:r>
              <w:t>78,89</w:t>
            </w:r>
          </w:p>
        </w:tc>
      </w:tr>
      <w:tr w:rsidR="00105561" w14:paraId="4F2907C2" w14:textId="77777777">
        <w:tc>
          <w:tcPr>
            <w:tcW w:w="341" w:type="pct"/>
            <w:vAlign w:val="center"/>
          </w:tcPr>
          <w:p w14:paraId="775CD5B5" w14:textId="77777777" w:rsidR="00105561" w:rsidRDefault="00000000">
            <w:r>
              <w:t>4.</w:t>
            </w:r>
          </w:p>
        </w:tc>
        <w:tc>
          <w:tcPr>
            <w:tcW w:w="1658" w:type="pct"/>
            <w:vAlign w:val="center"/>
          </w:tcPr>
          <w:p w14:paraId="3F7F799D" w14:textId="77777777" w:rsidR="00105561" w:rsidRDefault="00000000">
            <w:r>
              <w:t>Prihodi od najamnine</w:t>
            </w:r>
          </w:p>
        </w:tc>
        <w:tc>
          <w:tcPr>
            <w:tcW w:w="999" w:type="pct"/>
            <w:vAlign w:val="center"/>
          </w:tcPr>
          <w:p w14:paraId="1869556D" w14:textId="77777777" w:rsidR="00105561" w:rsidRDefault="00000000">
            <w:pPr>
              <w:keepNext/>
              <w:jc w:val="right"/>
            </w:pPr>
            <w:r>
              <w:t>14.891,23</w:t>
            </w:r>
          </w:p>
        </w:tc>
        <w:tc>
          <w:tcPr>
            <w:tcW w:w="999" w:type="pct"/>
            <w:vAlign w:val="center"/>
          </w:tcPr>
          <w:p w14:paraId="1BFF04D3" w14:textId="77777777" w:rsidR="00105561" w:rsidRDefault="00000000">
            <w:pPr>
              <w:keepNext/>
              <w:jc w:val="right"/>
            </w:pPr>
            <w:r>
              <w:t>23.282,85</w:t>
            </w:r>
          </w:p>
        </w:tc>
        <w:tc>
          <w:tcPr>
            <w:tcW w:w="1000" w:type="pct"/>
            <w:vAlign w:val="center"/>
          </w:tcPr>
          <w:p w14:paraId="2168DE68" w14:textId="77777777" w:rsidR="00105561" w:rsidRDefault="00000000">
            <w:pPr>
              <w:keepNext/>
              <w:jc w:val="right"/>
            </w:pPr>
            <w:r>
              <w:t>156,35</w:t>
            </w:r>
          </w:p>
        </w:tc>
      </w:tr>
      <w:tr w:rsidR="00105561" w14:paraId="46037833" w14:textId="77777777">
        <w:tc>
          <w:tcPr>
            <w:tcW w:w="341" w:type="pct"/>
            <w:vAlign w:val="center"/>
          </w:tcPr>
          <w:p w14:paraId="741B7E5B" w14:textId="77777777" w:rsidR="00105561" w:rsidRDefault="00000000">
            <w:r>
              <w:t>5.</w:t>
            </w:r>
          </w:p>
        </w:tc>
        <w:tc>
          <w:tcPr>
            <w:tcW w:w="1658" w:type="pct"/>
            <w:vAlign w:val="center"/>
          </w:tcPr>
          <w:p w14:paraId="5DCB63F1" w14:textId="77777777" w:rsidR="00105561" w:rsidRDefault="00000000">
            <w:r>
              <w:t>Prihodi od refundacija režija</w:t>
            </w:r>
          </w:p>
        </w:tc>
        <w:tc>
          <w:tcPr>
            <w:tcW w:w="999" w:type="pct"/>
            <w:vAlign w:val="center"/>
          </w:tcPr>
          <w:p w14:paraId="5EC5EA31" w14:textId="77777777" w:rsidR="00105561" w:rsidRDefault="00000000">
            <w:pPr>
              <w:keepNext/>
              <w:jc w:val="right"/>
            </w:pPr>
            <w:r>
              <w:t>12.355,83</w:t>
            </w:r>
          </w:p>
        </w:tc>
        <w:tc>
          <w:tcPr>
            <w:tcW w:w="999" w:type="pct"/>
            <w:vAlign w:val="center"/>
          </w:tcPr>
          <w:p w14:paraId="69B64B3D" w14:textId="77777777" w:rsidR="00105561" w:rsidRDefault="00000000">
            <w:pPr>
              <w:keepNext/>
              <w:jc w:val="right"/>
            </w:pPr>
            <w:r>
              <w:t>7.152,89</w:t>
            </w:r>
          </w:p>
        </w:tc>
        <w:tc>
          <w:tcPr>
            <w:tcW w:w="1000" w:type="pct"/>
            <w:vAlign w:val="center"/>
          </w:tcPr>
          <w:p w14:paraId="11716384" w14:textId="77777777" w:rsidR="00105561" w:rsidRDefault="00000000">
            <w:pPr>
              <w:keepNext/>
              <w:jc w:val="right"/>
            </w:pPr>
            <w:r>
              <w:t>57,89</w:t>
            </w:r>
          </w:p>
        </w:tc>
      </w:tr>
      <w:tr w:rsidR="00105561" w14:paraId="6F8660F4" w14:textId="77777777">
        <w:tc>
          <w:tcPr>
            <w:tcW w:w="341" w:type="pct"/>
            <w:vAlign w:val="center"/>
          </w:tcPr>
          <w:p w14:paraId="0E270DAE" w14:textId="77777777" w:rsidR="00105561" w:rsidRDefault="00000000">
            <w:r>
              <w:t>6.</w:t>
            </w:r>
          </w:p>
        </w:tc>
        <w:tc>
          <w:tcPr>
            <w:tcW w:w="1658" w:type="pct"/>
            <w:vAlign w:val="center"/>
          </w:tcPr>
          <w:p w14:paraId="0B4474D3" w14:textId="77777777" w:rsidR="00105561" w:rsidRDefault="00000000">
            <w:r>
              <w:t>Sponzorstva</w:t>
            </w:r>
          </w:p>
        </w:tc>
        <w:tc>
          <w:tcPr>
            <w:tcW w:w="999" w:type="pct"/>
            <w:vAlign w:val="center"/>
          </w:tcPr>
          <w:p w14:paraId="5C42875C" w14:textId="77777777" w:rsidR="00105561" w:rsidRDefault="00000000">
            <w:pPr>
              <w:keepNext/>
              <w:jc w:val="right"/>
            </w:pPr>
            <w:r>
              <w:t>-</w:t>
            </w:r>
          </w:p>
        </w:tc>
        <w:tc>
          <w:tcPr>
            <w:tcW w:w="999" w:type="pct"/>
            <w:vAlign w:val="center"/>
          </w:tcPr>
          <w:p w14:paraId="7F4FC3E9" w14:textId="77777777" w:rsidR="00105561" w:rsidRDefault="00000000">
            <w:pPr>
              <w:keepNext/>
              <w:jc w:val="right"/>
            </w:pPr>
            <w:r>
              <w:t>1.000,00</w:t>
            </w:r>
          </w:p>
        </w:tc>
        <w:tc>
          <w:tcPr>
            <w:tcW w:w="1000" w:type="pct"/>
            <w:vAlign w:val="center"/>
          </w:tcPr>
          <w:p w14:paraId="321BCCA3" w14:textId="77777777" w:rsidR="00105561" w:rsidRDefault="00000000">
            <w:pPr>
              <w:keepNext/>
              <w:jc w:val="right"/>
            </w:pPr>
            <w:r>
              <w:t> </w:t>
            </w:r>
          </w:p>
        </w:tc>
      </w:tr>
      <w:tr w:rsidR="00105561" w14:paraId="75B39EE5" w14:textId="77777777">
        <w:tc>
          <w:tcPr>
            <w:tcW w:w="341" w:type="pct"/>
            <w:vAlign w:val="center"/>
          </w:tcPr>
          <w:p w14:paraId="11426562" w14:textId="77777777" w:rsidR="00105561" w:rsidRDefault="00000000">
            <w:r>
              <w:t>7.</w:t>
            </w:r>
          </w:p>
        </w:tc>
        <w:tc>
          <w:tcPr>
            <w:tcW w:w="1658" w:type="pct"/>
            <w:vAlign w:val="center"/>
          </w:tcPr>
          <w:p w14:paraId="3B381414" w14:textId="77777777" w:rsidR="00105561" w:rsidRDefault="00000000">
            <w:r>
              <w:t>Prihodi od fotokopiranja</w:t>
            </w:r>
          </w:p>
        </w:tc>
        <w:tc>
          <w:tcPr>
            <w:tcW w:w="999" w:type="pct"/>
            <w:vAlign w:val="center"/>
          </w:tcPr>
          <w:p w14:paraId="716714EF" w14:textId="77777777" w:rsidR="00105561" w:rsidRDefault="00000000">
            <w:pPr>
              <w:keepNext/>
              <w:jc w:val="right"/>
            </w:pPr>
            <w:r>
              <w:t>33,61</w:t>
            </w:r>
          </w:p>
        </w:tc>
        <w:tc>
          <w:tcPr>
            <w:tcW w:w="999" w:type="pct"/>
            <w:vAlign w:val="center"/>
          </w:tcPr>
          <w:p w14:paraId="1A9B1494" w14:textId="77777777" w:rsidR="00105561" w:rsidRDefault="00000000">
            <w:pPr>
              <w:keepNext/>
              <w:jc w:val="right"/>
            </w:pPr>
            <w:r>
              <w:t>69,17</w:t>
            </w:r>
          </w:p>
        </w:tc>
        <w:tc>
          <w:tcPr>
            <w:tcW w:w="1000" w:type="pct"/>
            <w:vAlign w:val="center"/>
          </w:tcPr>
          <w:p w14:paraId="4A714011" w14:textId="77777777" w:rsidR="00105561" w:rsidRDefault="00000000">
            <w:pPr>
              <w:keepNext/>
              <w:jc w:val="right"/>
            </w:pPr>
            <w:r>
              <w:t>205,9</w:t>
            </w:r>
          </w:p>
        </w:tc>
      </w:tr>
      <w:tr w:rsidR="00105561" w14:paraId="6B430754" w14:textId="77777777">
        <w:tc>
          <w:tcPr>
            <w:tcW w:w="341" w:type="pct"/>
            <w:vAlign w:val="center"/>
          </w:tcPr>
          <w:p w14:paraId="06E3A56A" w14:textId="77777777" w:rsidR="00105561" w:rsidRDefault="00000000">
            <w:r>
              <w:t>8.</w:t>
            </w:r>
          </w:p>
        </w:tc>
        <w:tc>
          <w:tcPr>
            <w:tcW w:w="1658" w:type="pct"/>
            <w:vAlign w:val="center"/>
          </w:tcPr>
          <w:p w14:paraId="664D8E79" w14:textId="77777777" w:rsidR="00105561" w:rsidRDefault="00000000">
            <w:r>
              <w:t>Ostali prihodi od refundacija</w:t>
            </w:r>
          </w:p>
        </w:tc>
        <w:tc>
          <w:tcPr>
            <w:tcW w:w="999" w:type="pct"/>
            <w:vAlign w:val="center"/>
          </w:tcPr>
          <w:p w14:paraId="485FB649" w14:textId="77777777" w:rsidR="00105561" w:rsidRDefault="00000000">
            <w:pPr>
              <w:keepNext/>
              <w:jc w:val="right"/>
            </w:pPr>
            <w:r>
              <w:t> </w:t>
            </w:r>
          </w:p>
        </w:tc>
        <w:tc>
          <w:tcPr>
            <w:tcW w:w="999" w:type="pct"/>
            <w:vAlign w:val="center"/>
          </w:tcPr>
          <w:p w14:paraId="1AE0F1CD" w14:textId="77777777" w:rsidR="00105561" w:rsidRDefault="00000000">
            <w:pPr>
              <w:keepNext/>
              <w:jc w:val="right"/>
            </w:pPr>
            <w:r>
              <w:t>2.079,88</w:t>
            </w:r>
          </w:p>
        </w:tc>
        <w:tc>
          <w:tcPr>
            <w:tcW w:w="1000" w:type="pct"/>
            <w:vAlign w:val="center"/>
          </w:tcPr>
          <w:p w14:paraId="42A912CC" w14:textId="77777777" w:rsidR="00105561" w:rsidRDefault="00000000">
            <w:pPr>
              <w:keepNext/>
              <w:jc w:val="right"/>
            </w:pPr>
            <w:r>
              <w:t> </w:t>
            </w:r>
          </w:p>
        </w:tc>
      </w:tr>
      <w:tr w:rsidR="00105561" w14:paraId="10814F8D" w14:textId="77777777">
        <w:tc>
          <w:tcPr>
            <w:tcW w:w="341" w:type="pct"/>
            <w:vAlign w:val="center"/>
          </w:tcPr>
          <w:p w14:paraId="057D1EF3" w14:textId="77777777" w:rsidR="00105561" w:rsidRDefault="00000000">
            <w:r>
              <w:t> </w:t>
            </w:r>
          </w:p>
        </w:tc>
        <w:tc>
          <w:tcPr>
            <w:tcW w:w="1658" w:type="pct"/>
            <w:vAlign w:val="center"/>
          </w:tcPr>
          <w:p w14:paraId="2C190674" w14:textId="77777777" w:rsidR="00105561" w:rsidRDefault="00000000">
            <w:r>
              <w:rPr>
                <w:b/>
              </w:rPr>
              <w:t>UKUPNO:</w:t>
            </w:r>
          </w:p>
        </w:tc>
        <w:tc>
          <w:tcPr>
            <w:tcW w:w="999" w:type="pct"/>
            <w:vAlign w:val="center"/>
          </w:tcPr>
          <w:p w14:paraId="57195021" w14:textId="77777777" w:rsidR="00105561" w:rsidRDefault="00000000">
            <w:pPr>
              <w:keepNext/>
              <w:jc w:val="right"/>
            </w:pPr>
            <w:r>
              <w:rPr>
                <w:b/>
              </w:rPr>
              <w:t>603.556,02</w:t>
            </w:r>
          </w:p>
        </w:tc>
        <w:tc>
          <w:tcPr>
            <w:tcW w:w="999" w:type="pct"/>
            <w:vAlign w:val="center"/>
          </w:tcPr>
          <w:p w14:paraId="0123E07A" w14:textId="77777777" w:rsidR="00105561" w:rsidRDefault="00000000">
            <w:pPr>
              <w:keepNext/>
              <w:jc w:val="right"/>
            </w:pPr>
            <w:r>
              <w:rPr>
                <w:b/>
              </w:rPr>
              <w:t>630.664,08</w:t>
            </w:r>
          </w:p>
        </w:tc>
        <w:tc>
          <w:tcPr>
            <w:tcW w:w="1000" w:type="pct"/>
            <w:vAlign w:val="center"/>
          </w:tcPr>
          <w:p w14:paraId="58675DAB" w14:textId="77777777" w:rsidR="00105561" w:rsidRDefault="00000000">
            <w:pPr>
              <w:keepNext/>
              <w:jc w:val="right"/>
            </w:pPr>
            <w:r>
              <w:rPr>
                <w:b/>
              </w:rPr>
              <w:t>104,9</w:t>
            </w:r>
          </w:p>
        </w:tc>
      </w:tr>
    </w:tbl>
    <w:p w14:paraId="4BD59EC7" w14:textId="77777777" w:rsidR="00105561" w:rsidRDefault="00000000">
      <w:r>
        <w:t> </w:t>
      </w:r>
    </w:p>
    <w:p w14:paraId="5D3907DE" w14:textId="77777777" w:rsidR="00105561" w:rsidRDefault="00105561"/>
    <w:p w14:paraId="6FEFA5BD" w14:textId="77777777" w:rsidR="00105561" w:rsidRDefault="00000000">
      <w:pPr>
        <w:keepNext/>
        <w:spacing w:line="240" w:lineRule="auto"/>
        <w:jc w:val="center"/>
      </w:pPr>
      <w:r>
        <w:rPr>
          <w:sz w:val="28"/>
        </w:rPr>
        <w:lastRenderedPageBreak/>
        <w:t>Bilješka 11.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05561" w14:paraId="1856E18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7B6388C" w14:textId="77777777" w:rsidR="00105561"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4A43A7D" w14:textId="77777777" w:rsidR="00105561"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B6488E8" w14:textId="77777777" w:rsidR="00105561"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AE4E84C" w14:textId="77777777" w:rsidR="00105561"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AB09868" w14:textId="77777777" w:rsidR="00105561"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3D39DBA" w14:textId="77777777" w:rsidR="00105561" w:rsidRDefault="00000000">
            <w:pPr>
              <w:keepNext/>
              <w:keepLines/>
              <w:spacing w:after="0" w:line="240" w:lineRule="auto"/>
              <w:jc w:val="center"/>
            </w:pPr>
            <w:r>
              <w:rPr>
                <w:b/>
                <w:sz w:val="18"/>
              </w:rPr>
              <w:t>Indeks (%)</w:t>
            </w:r>
          </w:p>
        </w:tc>
      </w:tr>
      <w:tr w:rsidR="00105561" w14:paraId="491F5A6A" w14:textId="77777777">
        <w:tblPrEx>
          <w:tblCellMar>
            <w:top w:w="0" w:type="dxa"/>
            <w:bottom w:w="0" w:type="dxa"/>
          </w:tblCellMar>
        </w:tblPrEx>
        <w:trPr>
          <w:cantSplit/>
          <w:trHeight w:val="560"/>
        </w:trPr>
        <w:tc>
          <w:tcPr>
            <w:tcW w:w="700" w:type="dxa"/>
            <w:tcMar>
              <w:top w:w="0" w:type="dxa"/>
              <w:bottom w:w="0" w:type="dxa"/>
            </w:tcMar>
            <w:vAlign w:val="center"/>
          </w:tcPr>
          <w:p w14:paraId="5815F24B" w14:textId="77777777" w:rsidR="00105561" w:rsidRDefault="00000000">
            <w:pPr>
              <w:keepNext/>
              <w:keepLines/>
              <w:spacing w:after="0" w:line="240" w:lineRule="auto"/>
            </w:pPr>
            <w:r>
              <w:rPr>
                <w:sz w:val="18"/>
              </w:rPr>
              <w:t>6631</w:t>
            </w:r>
          </w:p>
        </w:tc>
        <w:tc>
          <w:tcPr>
            <w:tcW w:w="3180" w:type="dxa"/>
            <w:tcMar>
              <w:top w:w="0" w:type="dxa"/>
              <w:bottom w:w="0" w:type="dxa"/>
            </w:tcMar>
            <w:vAlign w:val="center"/>
          </w:tcPr>
          <w:p w14:paraId="5CFD1EAE" w14:textId="77777777" w:rsidR="00105561" w:rsidRDefault="00000000">
            <w:pPr>
              <w:keepNext/>
              <w:keepLines/>
              <w:spacing w:after="0" w:line="240" w:lineRule="auto"/>
            </w:pPr>
            <w:r>
              <w:rPr>
                <w:sz w:val="18"/>
              </w:rPr>
              <w:t>Tekuće donacije</w:t>
            </w:r>
          </w:p>
        </w:tc>
        <w:tc>
          <w:tcPr>
            <w:tcW w:w="700" w:type="dxa"/>
            <w:tcMar>
              <w:top w:w="0" w:type="dxa"/>
              <w:bottom w:w="0" w:type="dxa"/>
            </w:tcMar>
            <w:vAlign w:val="center"/>
          </w:tcPr>
          <w:p w14:paraId="758EE794" w14:textId="77777777" w:rsidR="00105561" w:rsidRDefault="00000000">
            <w:pPr>
              <w:keepNext/>
              <w:keepLines/>
              <w:spacing w:after="0" w:line="240" w:lineRule="auto"/>
            </w:pPr>
            <w:r>
              <w:rPr>
                <w:sz w:val="18"/>
              </w:rPr>
              <w:t>6631</w:t>
            </w:r>
          </w:p>
        </w:tc>
        <w:tc>
          <w:tcPr>
            <w:tcW w:w="1860" w:type="dxa"/>
            <w:tcMar>
              <w:top w:w="0" w:type="dxa"/>
              <w:bottom w:w="0" w:type="dxa"/>
            </w:tcMar>
            <w:vAlign w:val="center"/>
          </w:tcPr>
          <w:p w14:paraId="065707F7" w14:textId="77777777" w:rsidR="00105561" w:rsidRDefault="00000000">
            <w:pPr>
              <w:keepNext/>
              <w:keepLines/>
              <w:spacing w:after="0" w:line="240" w:lineRule="auto"/>
              <w:jc w:val="right"/>
            </w:pPr>
            <w:r>
              <w:rPr>
                <w:sz w:val="18"/>
              </w:rPr>
              <w:t>84.603,05</w:t>
            </w:r>
          </w:p>
        </w:tc>
        <w:tc>
          <w:tcPr>
            <w:tcW w:w="1860" w:type="dxa"/>
            <w:tcMar>
              <w:top w:w="0" w:type="dxa"/>
              <w:bottom w:w="0" w:type="dxa"/>
            </w:tcMar>
            <w:vAlign w:val="center"/>
          </w:tcPr>
          <w:p w14:paraId="53D9311F" w14:textId="77777777" w:rsidR="00105561" w:rsidRDefault="00000000">
            <w:pPr>
              <w:keepNext/>
              <w:keepLines/>
              <w:spacing w:after="0" w:line="240" w:lineRule="auto"/>
              <w:jc w:val="right"/>
            </w:pPr>
            <w:r>
              <w:rPr>
                <w:sz w:val="18"/>
              </w:rPr>
              <w:t>93.072,28</w:t>
            </w:r>
          </w:p>
        </w:tc>
        <w:tc>
          <w:tcPr>
            <w:tcW w:w="700" w:type="dxa"/>
            <w:tcMar>
              <w:top w:w="0" w:type="dxa"/>
              <w:bottom w:w="0" w:type="dxa"/>
            </w:tcMar>
            <w:vAlign w:val="center"/>
          </w:tcPr>
          <w:p w14:paraId="4E3E5A69" w14:textId="77777777" w:rsidR="00105561" w:rsidRDefault="00000000">
            <w:pPr>
              <w:keepNext/>
              <w:keepLines/>
              <w:spacing w:after="0" w:line="240" w:lineRule="auto"/>
              <w:jc w:val="right"/>
            </w:pPr>
            <w:r>
              <w:rPr>
                <w:sz w:val="18"/>
              </w:rPr>
              <w:t>110,0</w:t>
            </w:r>
          </w:p>
        </w:tc>
      </w:tr>
    </w:tbl>
    <w:p w14:paraId="52DC8067" w14:textId="77777777" w:rsidR="00105561" w:rsidRDefault="00105561">
      <w:pPr>
        <w:spacing w:after="0"/>
      </w:pPr>
    </w:p>
    <w:p w14:paraId="7036DED5" w14:textId="77777777" w:rsidR="00105561" w:rsidRDefault="00000000">
      <w:pPr>
        <w:jc w:val="both"/>
      </w:pPr>
      <w:r>
        <w:t>Tekuće donacije veće su za 10,00%  zbog implementacije EU projekta PortEMS (Integrirani teritorijalni razvoj) čiji je vodeći partner Jatro inženjering d.o.o. doznačio sredstva u iznosu od 89.447,28 eura , dok se iznos od 3.125,00 eura odnosi na donaciju  trgovačkog društava  CMA Hrvatska d.o.o. za nabavu licence. </w:t>
      </w:r>
    </w:p>
    <w:p w14:paraId="040F9568" w14:textId="77777777" w:rsidR="00105561" w:rsidRDefault="00105561"/>
    <w:p w14:paraId="64E36C5A" w14:textId="77777777" w:rsidR="00105561" w:rsidRDefault="00000000">
      <w:pPr>
        <w:keepNext/>
        <w:spacing w:line="240" w:lineRule="auto"/>
        <w:jc w:val="center"/>
      </w:pPr>
      <w:r>
        <w:rPr>
          <w:sz w:val="28"/>
        </w:rPr>
        <w:t>Bilješka 12.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05561" w14:paraId="3A8BA4F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3C0B408" w14:textId="77777777" w:rsidR="00105561"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2C749A3" w14:textId="77777777" w:rsidR="00105561"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260A492" w14:textId="77777777" w:rsidR="00105561"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0962AE9" w14:textId="77777777" w:rsidR="00105561"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BF91D7E" w14:textId="77777777" w:rsidR="00105561"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EED2406" w14:textId="77777777" w:rsidR="00105561" w:rsidRDefault="00000000">
            <w:pPr>
              <w:keepNext/>
              <w:keepLines/>
              <w:spacing w:after="0" w:line="240" w:lineRule="auto"/>
              <w:jc w:val="center"/>
            </w:pPr>
            <w:r>
              <w:rPr>
                <w:b/>
                <w:sz w:val="18"/>
              </w:rPr>
              <w:t>Indeks (%)</w:t>
            </w:r>
          </w:p>
        </w:tc>
      </w:tr>
      <w:tr w:rsidR="00105561" w14:paraId="7AE1E91B" w14:textId="77777777">
        <w:tblPrEx>
          <w:tblCellMar>
            <w:top w:w="0" w:type="dxa"/>
            <w:bottom w:w="0" w:type="dxa"/>
          </w:tblCellMar>
        </w:tblPrEx>
        <w:trPr>
          <w:cantSplit/>
          <w:trHeight w:val="560"/>
        </w:trPr>
        <w:tc>
          <w:tcPr>
            <w:tcW w:w="700" w:type="dxa"/>
            <w:tcMar>
              <w:top w:w="0" w:type="dxa"/>
              <w:bottom w:w="0" w:type="dxa"/>
            </w:tcMar>
            <w:vAlign w:val="center"/>
          </w:tcPr>
          <w:p w14:paraId="1A4466B5" w14:textId="77777777" w:rsidR="00105561" w:rsidRDefault="00000000">
            <w:pPr>
              <w:keepNext/>
              <w:keepLines/>
              <w:spacing w:after="0" w:line="240" w:lineRule="auto"/>
            </w:pPr>
            <w:r>
              <w:rPr>
                <w:sz w:val="18"/>
              </w:rPr>
              <w:t>6711</w:t>
            </w:r>
          </w:p>
        </w:tc>
        <w:tc>
          <w:tcPr>
            <w:tcW w:w="3180" w:type="dxa"/>
            <w:tcMar>
              <w:top w:w="0" w:type="dxa"/>
              <w:bottom w:w="0" w:type="dxa"/>
            </w:tcMar>
            <w:vAlign w:val="center"/>
          </w:tcPr>
          <w:p w14:paraId="4D24F276" w14:textId="77777777" w:rsidR="00105561" w:rsidRDefault="00000000">
            <w:pPr>
              <w:keepNext/>
              <w:keepLines/>
              <w:spacing w:after="0" w:line="240" w:lineRule="auto"/>
            </w:pPr>
            <w:r>
              <w:rPr>
                <w:sz w:val="18"/>
              </w:rPr>
              <w:t>Prihodi iz nadležnog proračuna za financiranje rashoda poslovanja</w:t>
            </w:r>
          </w:p>
        </w:tc>
        <w:tc>
          <w:tcPr>
            <w:tcW w:w="700" w:type="dxa"/>
            <w:tcMar>
              <w:top w:w="0" w:type="dxa"/>
              <w:bottom w:w="0" w:type="dxa"/>
            </w:tcMar>
            <w:vAlign w:val="center"/>
          </w:tcPr>
          <w:p w14:paraId="1D76885D" w14:textId="77777777" w:rsidR="00105561" w:rsidRDefault="00000000">
            <w:pPr>
              <w:keepNext/>
              <w:keepLines/>
              <w:spacing w:after="0" w:line="240" w:lineRule="auto"/>
            </w:pPr>
            <w:r>
              <w:rPr>
                <w:sz w:val="18"/>
              </w:rPr>
              <w:t>6711</w:t>
            </w:r>
          </w:p>
        </w:tc>
        <w:tc>
          <w:tcPr>
            <w:tcW w:w="1860" w:type="dxa"/>
            <w:tcMar>
              <w:top w:w="0" w:type="dxa"/>
              <w:bottom w:w="0" w:type="dxa"/>
            </w:tcMar>
            <w:vAlign w:val="center"/>
          </w:tcPr>
          <w:p w14:paraId="675A160C" w14:textId="77777777" w:rsidR="00105561" w:rsidRDefault="00000000">
            <w:pPr>
              <w:keepNext/>
              <w:keepLines/>
              <w:spacing w:after="0" w:line="240" w:lineRule="auto"/>
              <w:jc w:val="right"/>
            </w:pPr>
            <w:r>
              <w:rPr>
                <w:sz w:val="18"/>
              </w:rPr>
              <w:t>4.359.122,47</w:t>
            </w:r>
          </w:p>
        </w:tc>
        <w:tc>
          <w:tcPr>
            <w:tcW w:w="1860" w:type="dxa"/>
            <w:tcMar>
              <w:top w:w="0" w:type="dxa"/>
              <w:bottom w:w="0" w:type="dxa"/>
            </w:tcMar>
            <w:vAlign w:val="center"/>
          </w:tcPr>
          <w:p w14:paraId="060CC865" w14:textId="77777777" w:rsidR="00105561" w:rsidRDefault="00000000">
            <w:pPr>
              <w:keepNext/>
              <w:keepLines/>
              <w:spacing w:after="0" w:line="240" w:lineRule="auto"/>
              <w:jc w:val="right"/>
            </w:pPr>
            <w:r>
              <w:rPr>
                <w:sz w:val="18"/>
              </w:rPr>
              <w:t>4.908.632,71</w:t>
            </w:r>
          </w:p>
        </w:tc>
        <w:tc>
          <w:tcPr>
            <w:tcW w:w="700" w:type="dxa"/>
            <w:tcMar>
              <w:top w:w="0" w:type="dxa"/>
              <w:bottom w:w="0" w:type="dxa"/>
            </w:tcMar>
            <w:vAlign w:val="center"/>
          </w:tcPr>
          <w:p w14:paraId="33706BBC" w14:textId="77777777" w:rsidR="00105561" w:rsidRDefault="00000000">
            <w:pPr>
              <w:keepNext/>
              <w:keepLines/>
              <w:spacing w:after="0" w:line="240" w:lineRule="auto"/>
              <w:jc w:val="right"/>
            </w:pPr>
            <w:r>
              <w:rPr>
                <w:sz w:val="18"/>
              </w:rPr>
              <w:t>112,6</w:t>
            </w:r>
          </w:p>
        </w:tc>
      </w:tr>
    </w:tbl>
    <w:p w14:paraId="47B89A88" w14:textId="77777777" w:rsidR="00105561" w:rsidRDefault="00105561">
      <w:pPr>
        <w:spacing w:after="0"/>
      </w:pPr>
    </w:p>
    <w:p w14:paraId="100D38A3" w14:textId="77777777" w:rsidR="00105561" w:rsidRDefault="00000000">
      <w:pPr>
        <w:jc w:val="both"/>
      </w:pPr>
      <w:r>
        <w:t>Prihodi iz nadležnog proračuna za financiranje rashoda poslovanja odnose se na sredstva za financiranje rashoda za zaposlene na teret državnog proračuna i dijela materijalnih troškova, a sve u ukupnom iznosu od 4.472.673,53 eura. Preostala sredstva su sredstva programskih ugovora u iznosu od 348.627,19 eura i refundacija Ministarstva znanosti, obrazovanja i mladih za troškove doktorskog studija u iznosu od 1.404,83 eura, financiranje četrnaest NPOO projekata Fakulteta iz programskih ugovora u iznosu od 37.759,17 eura i sredstva iz Operativnog programa NPOO „Dokazivanje inovativnog koncepta“, C3.2.R3-I1.01 u iznosu 48.167,99 eura. </w:t>
      </w:r>
    </w:p>
    <w:p w14:paraId="664287E6" w14:textId="77777777" w:rsidR="00105561" w:rsidRDefault="00105561"/>
    <w:p w14:paraId="216475B9" w14:textId="77777777" w:rsidR="00105561" w:rsidRDefault="00000000">
      <w:pPr>
        <w:keepNext/>
        <w:spacing w:line="240" w:lineRule="auto"/>
        <w:jc w:val="center"/>
      </w:pPr>
      <w:r>
        <w:rPr>
          <w:sz w:val="28"/>
        </w:rPr>
        <w:t>Bilješka 13.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05561" w14:paraId="09E13CB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604F4A7" w14:textId="77777777" w:rsidR="00105561"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72A7838" w14:textId="77777777" w:rsidR="00105561"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352D61C" w14:textId="77777777" w:rsidR="00105561"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BECBAE0" w14:textId="77777777" w:rsidR="00105561"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3CA00E4" w14:textId="77777777" w:rsidR="00105561"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790D250" w14:textId="77777777" w:rsidR="00105561" w:rsidRDefault="00000000">
            <w:pPr>
              <w:keepNext/>
              <w:keepLines/>
              <w:spacing w:after="0" w:line="240" w:lineRule="auto"/>
              <w:jc w:val="center"/>
            </w:pPr>
            <w:r>
              <w:rPr>
                <w:b/>
                <w:sz w:val="18"/>
              </w:rPr>
              <w:t>Indeks (%)</w:t>
            </w:r>
          </w:p>
        </w:tc>
      </w:tr>
      <w:tr w:rsidR="00105561" w14:paraId="52F04422" w14:textId="77777777">
        <w:tblPrEx>
          <w:tblCellMar>
            <w:top w:w="0" w:type="dxa"/>
            <w:bottom w:w="0" w:type="dxa"/>
          </w:tblCellMar>
        </w:tblPrEx>
        <w:trPr>
          <w:cantSplit/>
          <w:trHeight w:val="560"/>
        </w:trPr>
        <w:tc>
          <w:tcPr>
            <w:tcW w:w="700" w:type="dxa"/>
            <w:tcMar>
              <w:top w:w="0" w:type="dxa"/>
              <w:bottom w:w="0" w:type="dxa"/>
            </w:tcMar>
            <w:vAlign w:val="center"/>
          </w:tcPr>
          <w:p w14:paraId="20E27FC3" w14:textId="77777777" w:rsidR="00105561" w:rsidRDefault="00000000">
            <w:pPr>
              <w:keepNext/>
              <w:keepLines/>
              <w:spacing w:after="0" w:line="240" w:lineRule="auto"/>
            </w:pPr>
            <w:r>
              <w:rPr>
                <w:sz w:val="18"/>
              </w:rPr>
              <w:t>6712</w:t>
            </w:r>
          </w:p>
        </w:tc>
        <w:tc>
          <w:tcPr>
            <w:tcW w:w="3180" w:type="dxa"/>
            <w:tcMar>
              <w:top w:w="0" w:type="dxa"/>
              <w:bottom w:w="0" w:type="dxa"/>
            </w:tcMar>
            <w:vAlign w:val="center"/>
          </w:tcPr>
          <w:p w14:paraId="2C4C226C" w14:textId="77777777" w:rsidR="00105561" w:rsidRDefault="00000000">
            <w:pPr>
              <w:keepNext/>
              <w:keepLines/>
              <w:spacing w:after="0" w:line="240" w:lineRule="auto"/>
            </w:pPr>
            <w:r>
              <w:rPr>
                <w:sz w:val="18"/>
              </w:rPr>
              <w:t>Prihodi iz nadležnog proračuna za financiranje rashoda za nabavu nefinancijske imovine</w:t>
            </w:r>
          </w:p>
        </w:tc>
        <w:tc>
          <w:tcPr>
            <w:tcW w:w="700" w:type="dxa"/>
            <w:tcMar>
              <w:top w:w="0" w:type="dxa"/>
              <w:bottom w:w="0" w:type="dxa"/>
            </w:tcMar>
            <w:vAlign w:val="center"/>
          </w:tcPr>
          <w:p w14:paraId="7FD1671E" w14:textId="77777777" w:rsidR="00105561" w:rsidRDefault="00000000">
            <w:pPr>
              <w:keepNext/>
              <w:keepLines/>
              <w:spacing w:after="0" w:line="240" w:lineRule="auto"/>
            </w:pPr>
            <w:r>
              <w:rPr>
                <w:sz w:val="18"/>
              </w:rPr>
              <w:t>6712</w:t>
            </w:r>
          </w:p>
        </w:tc>
        <w:tc>
          <w:tcPr>
            <w:tcW w:w="1860" w:type="dxa"/>
            <w:tcMar>
              <w:top w:w="0" w:type="dxa"/>
              <w:bottom w:w="0" w:type="dxa"/>
            </w:tcMar>
            <w:vAlign w:val="center"/>
          </w:tcPr>
          <w:p w14:paraId="1F6DDA98" w14:textId="77777777" w:rsidR="00105561" w:rsidRDefault="00000000">
            <w:pPr>
              <w:keepNext/>
              <w:keepLines/>
              <w:spacing w:after="0" w:line="240" w:lineRule="auto"/>
              <w:jc w:val="right"/>
            </w:pPr>
            <w:r>
              <w:rPr>
                <w:sz w:val="18"/>
              </w:rPr>
              <w:t>24.080,24</w:t>
            </w:r>
          </w:p>
        </w:tc>
        <w:tc>
          <w:tcPr>
            <w:tcW w:w="1860" w:type="dxa"/>
            <w:tcMar>
              <w:top w:w="0" w:type="dxa"/>
              <w:bottom w:w="0" w:type="dxa"/>
            </w:tcMar>
            <w:vAlign w:val="center"/>
          </w:tcPr>
          <w:p w14:paraId="5467B3E3" w14:textId="77777777" w:rsidR="00105561" w:rsidRDefault="00000000">
            <w:pPr>
              <w:keepNext/>
              <w:keepLines/>
              <w:spacing w:after="0" w:line="240" w:lineRule="auto"/>
              <w:jc w:val="right"/>
            </w:pPr>
            <w:r>
              <w:rPr>
                <w:sz w:val="18"/>
              </w:rPr>
              <w:t>197.434,68</w:t>
            </w:r>
          </w:p>
        </w:tc>
        <w:tc>
          <w:tcPr>
            <w:tcW w:w="700" w:type="dxa"/>
            <w:tcMar>
              <w:top w:w="0" w:type="dxa"/>
              <w:bottom w:w="0" w:type="dxa"/>
            </w:tcMar>
            <w:vAlign w:val="center"/>
          </w:tcPr>
          <w:p w14:paraId="296CEDEC" w14:textId="77777777" w:rsidR="00105561" w:rsidRDefault="00000000">
            <w:pPr>
              <w:keepNext/>
              <w:keepLines/>
              <w:spacing w:after="0" w:line="240" w:lineRule="auto"/>
              <w:jc w:val="right"/>
            </w:pPr>
            <w:r>
              <w:rPr>
                <w:sz w:val="18"/>
              </w:rPr>
              <w:t>819,9</w:t>
            </w:r>
          </w:p>
        </w:tc>
      </w:tr>
    </w:tbl>
    <w:p w14:paraId="6672BE8A" w14:textId="77777777" w:rsidR="00105561" w:rsidRDefault="00105561">
      <w:pPr>
        <w:spacing w:after="0"/>
      </w:pPr>
    </w:p>
    <w:p w14:paraId="5B04AD71" w14:textId="77777777" w:rsidR="00105561" w:rsidRDefault="00000000">
      <w:pPr>
        <w:jc w:val="both"/>
      </w:pPr>
      <w:r>
        <w:t>Prihodi iz proračuna za nabavu nefinancijske imovine u iznosu od 197.434,68 eura odnose se na sredstva iz aktivnosti K621061 Održavanje infrastrukture koju je doznačilo Ministarstvo znanosti, obrazovanja i mladih u iznosu od 188.090,00 eura za nadogradnju programske simulatorske podrške (temeljem sklopljenog ugovora o bespovratnim sredstvima između Fakulteta i Ministarstva mora, prometa i infrastrukture) i iznos od 9.344,68 eura za financiranje nabave opreme iz sredstava programskih ugovora. </w:t>
      </w:r>
    </w:p>
    <w:p w14:paraId="5D7EA4CF" w14:textId="77777777" w:rsidR="00105561" w:rsidRDefault="00105561"/>
    <w:p w14:paraId="5E859474" w14:textId="77777777" w:rsidR="00105561" w:rsidRDefault="00000000">
      <w:pPr>
        <w:keepNext/>
        <w:spacing w:line="240" w:lineRule="auto"/>
        <w:jc w:val="center"/>
      </w:pPr>
      <w:r>
        <w:rPr>
          <w:sz w:val="28"/>
        </w:rPr>
        <w:lastRenderedPageBreak/>
        <w:t>Bilješka 14.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05561" w14:paraId="1BF860D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59D1EA0" w14:textId="77777777" w:rsidR="00105561"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7ACBCF6" w14:textId="77777777" w:rsidR="00105561"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8DA053A" w14:textId="77777777" w:rsidR="00105561"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F07766F" w14:textId="77777777" w:rsidR="00105561"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C575D9C" w14:textId="77777777" w:rsidR="00105561"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EAF08FA" w14:textId="77777777" w:rsidR="00105561" w:rsidRDefault="00000000">
            <w:pPr>
              <w:keepNext/>
              <w:keepLines/>
              <w:spacing w:after="0" w:line="240" w:lineRule="auto"/>
              <w:jc w:val="center"/>
            </w:pPr>
            <w:r>
              <w:rPr>
                <w:b/>
                <w:sz w:val="18"/>
              </w:rPr>
              <w:t>Indeks (%)</w:t>
            </w:r>
          </w:p>
        </w:tc>
      </w:tr>
      <w:tr w:rsidR="00105561" w14:paraId="4832A914" w14:textId="77777777">
        <w:tblPrEx>
          <w:tblCellMar>
            <w:top w:w="0" w:type="dxa"/>
            <w:bottom w:w="0" w:type="dxa"/>
          </w:tblCellMar>
        </w:tblPrEx>
        <w:trPr>
          <w:cantSplit/>
          <w:trHeight w:val="560"/>
        </w:trPr>
        <w:tc>
          <w:tcPr>
            <w:tcW w:w="700" w:type="dxa"/>
            <w:tcMar>
              <w:top w:w="0" w:type="dxa"/>
              <w:bottom w:w="0" w:type="dxa"/>
            </w:tcMar>
            <w:vAlign w:val="center"/>
          </w:tcPr>
          <w:p w14:paraId="22A737D3" w14:textId="77777777" w:rsidR="00105561" w:rsidRDefault="00000000">
            <w:pPr>
              <w:keepNext/>
              <w:keepLines/>
              <w:spacing w:after="0" w:line="240" w:lineRule="auto"/>
            </w:pPr>
            <w:r>
              <w:rPr>
                <w:sz w:val="18"/>
              </w:rPr>
              <w:t>683</w:t>
            </w:r>
          </w:p>
        </w:tc>
        <w:tc>
          <w:tcPr>
            <w:tcW w:w="3180" w:type="dxa"/>
            <w:tcMar>
              <w:top w:w="0" w:type="dxa"/>
              <w:bottom w:w="0" w:type="dxa"/>
            </w:tcMar>
            <w:vAlign w:val="center"/>
          </w:tcPr>
          <w:p w14:paraId="041563D6" w14:textId="77777777" w:rsidR="00105561" w:rsidRDefault="00000000">
            <w:pPr>
              <w:keepNext/>
              <w:keepLines/>
              <w:spacing w:after="0" w:line="240" w:lineRule="auto"/>
            </w:pPr>
            <w:r>
              <w:rPr>
                <w:sz w:val="18"/>
              </w:rPr>
              <w:t>Ostali prihodi</w:t>
            </w:r>
          </w:p>
        </w:tc>
        <w:tc>
          <w:tcPr>
            <w:tcW w:w="700" w:type="dxa"/>
            <w:tcMar>
              <w:top w:w="0" w:type="dxa"/>
              <w:bottom w:w="0" w:type="dxa"/>
            </w:tcMar>
            <w:vAlign w:val="center"/>
          </w:tcPr>
          <w:p w14:paraId="43A3B579" w14:textId="77777777" w:rsidR="00105561" w:rsidRDefault="00000000">
            <w:pPr>
              <w:keepNext/>
              <w:keepLines/>
              <w:spacing w:after="0" w:line="240" w:lineRule="auto"/>
            </w:pPr>
            <w:r>
              <w:rPr>
                <w:sz w:val="18"/>
              </w:rPr>
              <w:t>683</w:t>
            </w:r>
          </w:p>
        </w:tc>
        <w:tc>
          <w:tcPr>
            <w:tcW w:w="1860" w:type="dxa"/>
            <w:tcMar>
              <w:top w:w="0" w:type="dxa"/>
              <w:bottom w:w="0" w:type="dxa"/>
            </w:tcMar>
            <w:vAlign w:val="center"/>
          </w:tcPr>
          <w:p w14:paraId="7A75CDA7" w14:textId="77777777" w:rsidR="00105561" w:rsidRDefault="00000000">
            <w:pPr>
              <w:keepNext/>
              <w:keepLines/>
              <w:spacing w:after="0" w:line="240" w:lineRule="auto"/>
              <w:jc w:val="right"/>
            </w:pPr>
            <w:r>
              <w:rPr>
                <w:sz w:val="18"/>
              </w:rPr>
              <w:t>531,24</w:t>
            </w:r>
          </w:p>
        </w:tc>
        <w:tc>
          <w:tcPr>
            <w:tcW w:w="1860" w:type="dxa"/>
            <w:tcMar>
              <w:top w:w="0" w:type="dxa"/>
              <w:bottom w:w="0" w:type="dxa"/>
            </w:tcMar>
            <w:vAlign w:val="center"/>
          </w:tcPr>
          <w:p w14:paraId="145F72B0" w14:textId="77777777" w:rsidR="00105561" w:rsidRDefault="00000000">
            <w:pPr>
              <w:keepNext/>
              <w:keepLines/>
              <w:spacing w:after="0" w:line="240" w:lineRule="auto"/>
              <w:jc w:val="right"/>
            </w:pPr>
            <w:r>
              <w:rPr>
                <w:sz w:val="18"/>
              </w:rPr>
              <w:t>804,00</w:t>
            </w:r>
          </w:p>
        </w:tc>
        <w:tc>
          <w:tcPr>
            <w:tcW w:w="700" w:type="dxa"/>
            <w:tcMar>
              <w:top w:w="0" w:type="dxa"/>
              <w:bottom w:w="0" w:type="dxa"/>
            </w:tcMar>
            <w:vAlign w:val="center"/>
          </w:tcPr>
          <w:p w14:paraId="2CBF7685" w14:textId="77777777" w:rsidR="00105561" w:rsidRDefault="00000000">
            <w:pPr>
              <w:keepNext/>
              <w:keepLines/>
              <w:spacing w:after="0" w:line="240" w:lineRule="auto"/>
              <w:jc w:val="right"/>
            </w:pPr>
            <w:r>
              <w:rPr>
                <w:sz w:val="18"/>
              </w:rPr>
              <w:t>151,3</w:t>
            </w:r>
          </w:p>
        </w:tc>
      </w:tr>
    </w:tbl>
    <w:p w14:paraId="5A8D3928" w14:textId="77777777" w:rsidR="00105561" w:rsidRDefault="00105561">
      <w:pPr>
        <w:spacing w:after="0"/>
      </w:pPr>
    </w:p>
    <w:p w14:paraId="76D6AC03" w14:textId="77777777" w:rsidR="00105561" w:rsidRDefault="00000000">
      <w:pPr>
        <w:jc w:val="both"/>
      </w:pPr>
      <w:r>
        <w:t>Ostali prihodi  u iznosu od 804,00 eura najvećim dijelom odnose se na oportunitetni trošak koji se naplaćuje kao naknada  studentu koji je dobio upisni broj ali se nije upisao. Ova naknada počela se naplaćivati od prošle akademske godine u iznosu od dvije trećine godišnje participacije u troškovima studija (735,00 eura). </w:t>
      </w:r>
    </w:p>
    <w:p w14:paraId="2491F24B" w14:textId="77777777" w:rsidR="00105561" w:rsidRDefault="00105561"/>
    <w:p w14:paraId="0E08DCD3" w14:textId="77777777" w:rsidR="00105561" w:rsidRDefault="00000000">
      <w:pPr>
        <w:keepNext/>
        <w:spacing w:line="240" w:lineRule="auto"/>
        <w:jc w:val="center"/>
      </w:pPr>
      <w:r>
        <w:rPr>
          <w:sz w:val="28"/>
        </w:rPr>
        <w:t>Bilješka 15.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05561" w14:paraId="6F65DF2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50C3943" w14:textId="77777777" w:rsidR="00105561"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0FD7211" w14:textId="77777777" w:rsidR="00105561"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60DCEE4" w14:textId="77777777" w:rsidR="00105561"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AC6DD10" w14:textId="77777777" w:rsidR="00105561"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A1B9FA7" w14:textId="77777777" w:rsidR="00105561"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0C8B8C9" w14:textId="77777777" w:rsidR="00105561" w:rsidRDefault="00000000">
            <w:pPr>
              <w:keepNext/>
              <w:keepLines/>
              <w:spacing w:after="0" w:line="240" w:lineRule="auto"/>
              <w:jc w:val="center"/>
            </w:pPr>
            <w:r>
              <w:rPr>
                <w:b/>
                <w:sz w:val="18"/>
              </w:rPr>
              <w:t>Indeks (%)</w:t>
            </w:r>
          </w:p>
        </w:tc>
      </w:tr>
      <w:tr w:rsidR="00105561" w14:paraId="4A1CE490" w14:textId="77777777">
        <w:tblPrEx>
          <w:tblCellMar>
            <w:top w:w="0" w:type="dxa"/>
            <w:bottom w:w="0" w:type="dxa"/>
          </w:tblCellMar>
        </w:tblPrEx>
        <w:trPr>
          <w:cantSplit/>
          <w:trHeight w:val="560"/>
        </w:trPr>
        <w:tc>
          <w:tcPr>
            <w:tcW w:w="700" w:type="dxa"/>
            <w:tcMar>
              <w:top w:w="0" w:type="dxa"/>
              <w:bottom w:w="0" w:type="dxa"/>
            </w:tcMar>
            <w:vAlign w:val="center"/>
          </w:tcPr>
          <w:p w14:paraId="322F60E5" w14:textId="77777777" w:rsidR="00105561" w:rsidRDefault="00000000">
            <w:pPr>
              <w:keepNext/>
              <w:keepLines/>
              <w:spacing w:after="0" w:line="240" w:lineRule="auto"/>
            </w:pPr>
            <w:r>
              <w:rPr>
                <w:sz w:val="18"/>
              </w:rPr>
              <w:t>31</w:t>
            </w:r>
          </w:p>
        </w:tc>
        <w:tc>
          <w:tcPr>
            <w:tcW w:w="3180" w:type="dxa"/>
            <w:tcMar>
              <w:top w:w="0" w:type="dxa"/>
              <w:bottom w:w="0" w:type="dxa"/>
            </w:tcMar>
            <w:vAlign w:val="center"/>
          </w:tcPr>
          <w:p w14:paraId="5EA4F6CC" w14:textId="77777777" w:rsidR="00105561" w:rsidRDefault="00000000">
            <w:pPr>
              <w:keepNext/>
              <w:keepLines/>
              <w:spacing w:after="0" w:line="240" w:lineRule="auto"/>
            </w:pPr>
            <w:r>
              <w:rPr>
                <w:sz w:val="18"/>
              </w:rPr>
              <w:t>Rashodi za zaposlene (šifre 311+312+313)</w:t>
            </w:r>
          </w:p>
        </w:tc>
        <w:tc>
          <w:tcPr>
            <w:tcW w:w="700" w:type="dxa"/>
            <w:tcMar>
              <w:top w:w="0" w:type="dxa"/>
              <w:bottom w:w="0" w:type="dxa"/>
            </w:tcMar>
            <w:vAlign w:val="center"/>
          </w:tcPr>
          <w:p w14:paraId="799CE67E" w14:textId="77777777" w:rsidR="00105561" w:rsidRDefault="00000000">
            <w:pPr>
              <w:keepNext/>
              <w:keepLines/>
              <w:spacing w:after="0" w:line="240" w:lineRule="auto"/>
            </w:pPr>
            <w:r>
              <w:rPr>
                <w:sz w:val="18"/>
              </w:rPr>
              <w:t>31</w:t>
            </w:r>
          </w:p>
        </w:tc>
        <w:tc>
          <w:tcPr>
            <w:tcW w:w="1860" w:type="dxa"/>
            <w:tcMar>
              <w:top w:w="0" w:type="dxa"/>
              <w:bottom w:w="0" w:type="dxa"/>
            </w:tcMar>
            <w:vAlign w:val="center"/>
          </w:tcPr>
          <w:p w14:paraId="13436FAE" w14:textId="77777777" w:rsidR="00105561" w:rsidRDefault="00000000">
            <w:pPr>
              <w:keepNext/>
              <w:keepLines/>
              <w:spacing w:after="0" w:line="240" w:lineRule="auto"/>
              <w:jc w:val="right"/>
            </w:pPr>
            <w:r>
              <w:rPr>
                <w:sz w:val="18"/>
              </w:rPr>
              <w:t>5.142.351,37</w:t>
            </w:r>
          </w:p>
        </w:tc>
        <w:tc>
          <w:tcPr>
            <w:tcW w:w="1860" w:type="dxa"/>
            <w:tcMar>
              <w:top w:w="0" w:type="dxa"/>
              <w:bottom w:w="0" w:type="dxa"/>
            </w:tcMar>
            <w:vAlign w:val="center"/>
          </w:tcPr>
          <w:p w14:paraId="1D201C16" w14:textId="77777777" w:rsidR="00105561" w:rsidRDefault="00000000">
            <w:pPr>
              <w:keepNext/>
              <w:keepLines/>
              <w:spacing w:after="0" w:line="240" w:lineRule="auto"/>
              <w:jc w:val="right"/>
            </w:pPr>
            <w:r>
              <w:rPr>
                <w:sz w:val="18"/>
              </w:rPr>
              <w:t>5.995.058,12</w:t>
            </w:r>
          </w:p>
        </w:tc>
        <w:tc>
          <w:tcPr>
            <w:tcW w:w="700" w:type="dxa"/>
            <w:tcMar>
              <w:top w:w="0" w:type="dxa"/>
              <w:bottom w:w="0" w:type="dxa"/>
            </w:tcMar>
            <w:vAlign w:val="center"/>
          </w:tcPr>
          <w:p w14:paraId="73E24278" w14:textId="77777777" w:rsidR="00105561" w:rsidRDefault="00000000">
            <w:pPr>
              <w:keepNext/>
              <w:keepLines/>
              <w:spacing w:after="0" w:line="240" w:lineRule="auto"/>
              <w:jc w:val="right"/>
            </w:pPr>
            <w:r>
              <w:rPr>
                <w:sz w:val="18"/>
              </w:rPr>
              <w:t>116,6</w:t>
            </w:r>
          </w:p>
        </w:tc>
      </w:tr>
    </w:tbl>
    <w:p w14:paraId="5179429A" w14:textId="77777777" w:rsidR="00105561" w:rsidRDefault="00105561">
      <w:pPr>
        <w:spacing w:after="0"/>
      </w:pPr>
    </w:p>
    <w:p w14:paraId="33FCE311" w14:textId="77777777" w:rsidR="00105561" w:rsidRDefault="00000000">
      <w:pPr>
        <w:jc w:val="both"/>
      </w:pPr>
      <w:r>
        <w:t>Rashodi za zaposlene iznose 5.995.058,12 eura i veći su za 16,6% jer obuhvaćaju rashode trinaest plaća (prosinac 2024. – prosinac 2025.) u odnosu na dvanaest plaća iskazanih u istom razdoblju prošle godine, što je posljedica ukidanja skupine kontinuiranih rashoda sukladno odredbama novog Pravilnika o proračunskom računovodstvu i Računskom planu. Do povećanja plaća došlo je i uslijed rasta koeficijenata složenosti radnog mjesta svim zaposlenima temeljem Uredbe Vlade RH od listopada 2024. godine kao i većeg broja zaposlenih u odnosu na isto razdoblje prethodne godine. </w:t>
      </w:r>
    </w:p>
    <w:p w14:paraId="079FC3D8" w14:textId="77777777" w:rsidR="00105561" w:rsidRDefault="00000000">
      <w:pPr>
        <w:jc w:val="both"/>
      </w:pPr>
      <w:r>
        <w:t>U iskazanom iznosu sadržane su bruto plaće zaposlenika Fakulteta na teret državnog proračuna kao i zaposlenika na teret vlastitih sredstava i sredstava EU projekata, uključujući stimulacije plaća temeljem Pravilnika o plaćama i drugim primanjima Fakulteta, te  dodaci na plaću za zaposlenike koji drže predavanja na programima i tečajevima izobrazbe za pomorce. </w:t>
      </w:r>
    </w:p>
    <w:p w14:paraId="1728DF95" w14:textId="77777777" w:rsidR="00105561" w:rsidRDefault="00000000">
      <w:pPr>
        <w:jc w:val="both"/>
      </w:pPr>
      <w:r>
        <w:t>Plaće u naravi odnose se putna osiguranja i članarine plaćene za nastavno osoblje za članstvo u pojedinim u strukovnim udruženjima na koje su obračunati pripadajući porezi i doprinosi, a sve u ukupnom iznosu od 3.047,07 eura. </w:t>
      </w:r>
    </w:p>
    <w:p w14:paraId="16160DC1" w14:textId="77777777" w:rsidR="00105561" w:rsidRDefault="00000000">
      <w:pPr>
        <w:jc w:val="both"/>
      </w:pPr>
      <w:r>
        <w:t> </w:t>
      </w:r>
    </w:p>
    <w:p w14:paraId="671A688C" w14:textId="77777777" w:rsidR="00105561" w:rsidRDefault="00105561"/>
    <w:p w14:paraId="7B29AEFA" w14:textId="77777777" w:rsidR="00105561" w:rsidRDefault="00000000">
      <w:pPr>
        <w:keepNext/>
        <w:spacing w:line="240" w:lineRule="auto"/>
        <w:jc w:val="center"/>
      </w:pPr>
      <w:r>
        <w:rPr>
          <w:sz w:val="28"/>
        </w:rPr>
        <w:t>Bilješka 16.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05561" w14:paraId="5A39060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92AB126" w14:textId="77777777" w:rsidR="00105561"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5DAA9E3" w14:textId="77777777" w:rsidR="00105561"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0B4544F" w14:textId="77777777" w:rsidR="00105561"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1135BA6" w14:textId="77777777" w:rsidR="00105561"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EAFE05E" w14:textId="77777777" w:rsidR="00105561"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C3F7A05" w14:textId="77777777" w:rsidR="00105561" w:rsidRDefault="00000000">
            <w:pPr>
              <w:keepNext/>
              <w:keepLines/>
              <w:spacing w:after="0" w:line="240" w:lineRule="auto"/>
              <w:jc w:val="center"/>
            </w:pPr>
            <w:r>
              <w:rPr>
                <w:b/>
                <w:sz w:val="18"/>
              </w:rPr>
              <w:t>Indeks (%)</w:t>
            </w:r>
          </w:p>
        </w:tc>
      </w:tr>
      <w:tr w:rsidR="00105561" w14:paraId="41432F7A" w14:textId="77777777">
        <w:tblPrEx>
          <w:tblCellMar>
            <w:top w:w="0" w:type="dxa"/>
            <w:bottom w:w="0" w:type="dxa"/>
          </w:tblCellMar>
        </w:tblPrEx>
        <w:trPr>
          <w:cantSplit/>
          <w:trHeight w:val="560"/>
        </w:trPr>
        <w:tc>
          <w:tcPr>
            <w:tcW w:w="700" w:type="dxa"/>
            <w:tcMar>
              <w:top w:w="0" w:type="dxa"/>
              <w:bottom w:w="0" w:type="dxa"/>
            </w:tcMar>
            <w:vAlign w:val="center"/>
          </w:tcPr>
          <w:p w14:paraId="58A93041" w14:textId="77777777" w:rsidR="00105561" w:rsidRDefault="00000000">
            <w:pPr>
              <w:keepNext/>
              <w:keepLines/>
              <w:spacing w:after="0" w:line="240" w:lineRule="auto"/>
            </w:pPr>
            <w:r>
              <w:rPr>
                <w:sz w:val="18"/>
              </w:rPr>
              <w:t>3211</w:t>
            </w:r>
          </w:p>
        </w:tc>
        <w:tc>
          <w:tcPr>
            <w:tcW w:w="3180" w:type="dxa"/>
            <w:tcMar>
              <w:top w:w="0" w:type="dxa"/>
              <w:bottom w:w="0" w:type="dxa"/>
            </w:tcMar>
            <w:vAlign w:val="center"/>
          </w:tcPr>
          <w:p w14:paraId="6DAD1529" w14:textId="77777777" w:rsidR="00105561" w:rsidRDefault="00000000">
            <w:pPr>
              <w:keepNext/>
              <w:keepLines/>
              <w:spacing w:after="0" w:line="240" w:lineRule="auto"/>
            </w:pPr>
            <w:r>
              <w:rPr>
                <w:sz w:val="18"/>
              </w:rPr>
              <w:t>Službena putovanja</w:t>
            </w:r>
          </w:p>
        </w:tc>
        <w:tc>
          <w:tcPr>
            <w:tcW w:w="700" w:type="dxa"/>
            <w:tcMar>
              <w:top w:w="0" w:type="dxa"/>
              <w:bottom w:w="0" w:type="dxa"/>
            </w:tcMar>
            <w:vAlign w:val="center"/>
          </w:tcPr>
          <w:p w14:paraId="2411C726" w14:textId="77777777" w:rsidR="00105561" w:rsidRDefault="00000000">
            <w:pPr>
              <w:keepNext/>
              <w:keepLines/>
              <w:spacing w:after="0" w:line="240" w:lineRule="auto"/>
            </w:pPr>
            <w:r>
              <w:rPr>
                <w:sz w:val="18"/>
              </w:rPr>
              <w:t>3211</w:t>
            </w:r>
          </w:p>
        </w:tc>
        <w:tc>
          <w:tcPr>
            <w:tcW w:w="1860" w:type="dxa"/>
            <w:tcMar>
              <w:top w:w="0" w:type="dxa"/>
              <w:bottom w:w="0" w:type="dxa"/>
            </w:tcMar>
            <w:vAlign w:val="center"/>
          </w:tcPr>
          <w:p w14:paraId="5911BD04" w14:textId="77777777" w:rsidR="00105561" w:rsidRDefault="00000000">
            <w:pPr>
              <w:keepNext/>
              <w:keepLines/>
              <w:spacing w:after="0" w:line="240" w:lineRule="auto"/>
              <w:jc w:val="right"/>
            </w:pPr>
            <w:r>
              <w:rPr>
                <w:sz w:val="18"/>
              </w:rPr>
              <w:t>211.279,72</w:t>
            </w:r>
          </w:p>
        </w:tc>
        <w:tc>
          <w:tcPr>
            <w:tcW w:w="1860" w:type="dxa"/>
            <w:tcMar>
              <w:top w:w="0" w:type="dxa"/>
              <w:bottom w:w="0" w:type="dxa"/>
            </w:tcMar>
            <w:vAlign w:val="center"/>
          </w:tcPr>
          <w:p w14:paraId="188D35D8" w14:textId="77777777" w:rsidR="00105561" w:rsidRDefault="00000000">
            <w:pPr>
              <w:keepNext/>
              <w:keepLines/>
              <w:spacing w:after="0" w:line="240" w:lineRule="auto"/>
              <w:jc w:val="right"/>
            </w:pPr>
            <w:r>
              <w:rPr>
                <w:sz w:val="18"/>
              </w:rPr>
              <w:t>177.393,98</w:t>
            </w:r>
          </w:p>
        </w:tc>
        <w:tc>
          <w:tcPr>
            <w:tcW w:w="700" w:type="dxa"/>
            <w:tcMar>
              <w:top w:w="0" w:type="dxa"/>
              <w:bottom w:w="0" w:type="dxa"/>
            </w:tcMar>
            <w:vAlign w:val="center"/>
          </w:tcPr>
          <w:p w14:paraId="7C576ED1" w14:textId="77777777" w:rsidR="00105561" w:rsidRDefault="00000000">
            <w:pPr>
              <w:keepNext/>
              <w:keepLines/>
              <w:spacing w:after="0" w:line="240" w:lineRule="auto"/>
              <w:jc w:val="right"/>
            </w:pPr>
            <w:r>
              <w:rPr>
                <w:sz w:val="18"/>
              </w:rPr>
              <w:t>84,0</w:t>
            </w:r>
          </w:p>
        </w:tc>
      </w:tr>
    </w:tbl>
    <w:p w14:paraId="4981365C" w14:textId="77777777" w:rsidR="00105561" w:rsidRDefault="00105561">
      <w:pPr>
        <w:spacing w:after="0"/>
      </w:pPr>
    </w:p>
    <w:p w14:paraId="7D0F357E" w14:textId="77777777" w:rsidR="00105561" w:rsidRDefault="00000000">
      <w:r>
        <w:lastRenderedPageBreak/>
        <w:t>Izdaci za službena putovanja smanjili su se za 16,0% zbog pohađanja većeg broja konferencija u inozemstvu tijekom 2024. godine.  </w:t>
      </w:r>
    </w:p>
    <w:p w14:paraId="4B842D51" w14:textId="77777777" w:rsidR="00105561" w:rsidRDefault="00105561"/>
    <w:p w14:paraId="28CB50B9" w14:textId="77777777" w:rsidR="00105561" w:rsidRDefault="00000000">
      <w:pPr>
        <w:keepNext/>
        <w:spacing w:line="240" w:lineRule="auto"/>
        <w:jc w:val="center"/>
      </w:pPr>
      <w:r>
        <w:rPr>
          <w:sz w:val="28"/>
        </w:rPr>
        <w:t>Bilješka 17.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05561" w14:paraId="45B540C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AE489F3" w14:textId="77777777" w:rsidR="00105561"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C8CE05B" w14:textId="77777777" w:rsidR="00105561"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387DBEC" w14:textId="77777777" w:rsidR="00105561"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E0CD6E9" w14:textId="77777777" w:rsidR="00105561"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D9D6AE1" w14:textId="77777777" w:rsidR="00105561"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B1A2975" w14:textId="77777777" w:rsidR="00105561" w:rsidRDefault="00000000">
            <w:pPr>
              <w:keepNext/>
              <w:keepLines/>
              <w:spacing w:after="0" w:line="240" w:lineRule="auto"/>
              <w:jc w:val="center"/>
            </w:pPr>
            <w:r>
              <w:rPr>
                <w:b/>
                <w:sz w:val="18"/>
              </w:rPr>
              <w:t>Indeks (%)</w:t>
            </w:r>
          </w:p>
        </w:tc>
      </w:tr>
      <w:tr w:rsidR="00105561" w14:paraId="796FBE77" w14:textId="77777777">
        <w:tblPrEx>
          <w:tblCellMar>
            <w:top w:w="0" w:type="dxa"/>
            <w:bottom w:w="0" w:type="dxa"/>
          </w:tblCellMar>
        </w:tblPrEx>
        <w:trPr>
          <w:cantSplit/>
          <w:trHeight w:val="560"/>
        </w:trPr>
        <w:tc>
          <w:tcPr>
            <w:tcW w:w="700" w:type="dxa"/>
            <w:tcMar>
              <w:top w:w="0" w:type="dxa"/>
              <w:bottom w:w="0" w:type="dxa"/>
            </w:tcMar>
            <w:vAlign w:val="center"/>
          </w:tcPr>
          <w:p w14:paraId="5581D805" w14:textId="77777777" w:rsidR="00105561" w:rsidRDefault="00000000">
            <w:pPr>
              <w:keepNext/>
              <w:keepLines/>
              <w:spacing w:after="0" w:line="240" w:lineRule="auto"/>
            </w:pPr>
            <w:r>
              <w:rPr>
                <w:sz w:val="18"/>
              </w:rPr>
              <w:t>3212</w:t>
            </w:r>
          </w:p>
        </w:tc>
        <w:tc>
          <w:tcPr>
            <w:tcW w:w="3180" w:type="dxa"/>
            <w:tcMar>
              <w:top w:w="0" w:type="dxa"/>
              <w:bottom w:w="0" w:type="dxa"/>
            </w:tcMar>
            <w:vAlign w:val="center"/>
          </w:tcPr>
          <w:p w14:paraId="71492296" w14:textId="77777777" w:rsidR="00105561" w:rsidRDefault="00000000">
            <w:pPr>
              <w:keepNext/>
              <w:keepLines/>
              <w:spacing w:after="0" w:line="240" w:lineRule="auto"/>
            </w:pPr>
            <w:r>
              <w:rPr>
                <w:sz w:val="18"/>
              </w:rPr>
              <w:t>Naknade za prijevoz, za rad na terenu i odvojeni život</w:t>
            </w:r>
          </w:p>
        </w:tc>
        <w:tc>
          <w:tcPr>
            <w:tcW w:w="700" w:type="dxa"/>
            <w:tcMar>
              <w:top w:w="0" w:type="dxa"/>
              <w:bottom w:w="0" w:type="dxa"/>
            </w:tcMar>
            <w:vAlign w:val="center"/>
          </w:tcPr>
          <w:p w14:paraId="1DC0CE7A" w14:textId="77777777" w:rsidR="00105561" w:rsidRDefault="00000000">
            <w:pPr>
              <w:keepNext/>
              <w:keepLines/>
              <w:spacing w:after="0" w:line="240" w:lineRule="auto"/>
            </w:pPr>
            <w:r>
              <w:rPr>
                <w:sz w:val="18"/>
              </w:rPr>
              <w:t>3212</w:t>
            </w:r>
          </w:p>
        </w:tc>
        <w:tc>
          <w:tcPr>
            <w:tcW w:w="1860" w:type="dxa"/>
            <w:tcMar>
              <w:top w:w="0" w:type="dxa"/>
              <w:bottom w:w="0" w:type="dxa"/>
            </w:tcMar>
            <w:vAlign w:val="center"/>
          </w:tcPr>
          <w:p w14:paraId="08BDED13" w14:textId="77777777" w:rsidR="00105561" w:rsidRDefault="00000000">
            <w:pPr>
              <w:keepNext/>
              <w:keepLines/>
              <w:spacing w:after="0" w:line="240" w:lineRule="auto"/>
              <w:jc w:val="right"/>
            </w:pPr>
            <w:r>
              <w:rPr>
                <w:sz w:val="18"/>
              </w:rPr>
              <w:t>62.999,29</w:t>
            </w:r>
          </w:p>
        </w:tc>
        <w:tc>
          <w:tcPr>
            <w:tcW w:w="1860" w:type="dxa"/>
            <w:tcMar>
              <w:top w:w="0" w:type="dxa"/>
              <w:bottom w:w="0" w:type="dxa"/>
            </w:tcMar>
            <w:vAlign w:val="center"/>
          </w:tcPr>
          <w:p w14:paraId="793CA1B4" w14:textId="77777777" w:rsidR="00105561" w:rsidRDefault="00000000">
            <w:pPr>
              <w:keepNext/>
              <w:keepLines/>
              <w:spacing w:after="0" w:line="240" w:lineRule="auto"/>
              <w:jc w:val="right"/>
            </w:pPr>
            <w:r>
              <w:rPr>
                <w:sz w:val="18"/>
              </w:rPr>
              <w:t>76.450,60</w:t>
            </w:r>
          </w:p>
        </w:tc>
        <w:tc>
          <w:tcPr>
            <w:tcW w:w="700" w:type="dxa"/>
            <w:tcMar>
              <w:top w:w="0" w:type="dxa"/>
              <w:bottom w:w="0" w:type="dxa"/>
            </w:tcMar>
            <w:vAlign w:val="center"/>
          </w:tcPr>
          <w:p w14:paraId="26147240" w14:textId="77777777" w:rsidR="00105561" w:rsidRDefault="00000000">
            <w:pPr>
              <w:keepNext/>
              <w:keepLines/>
              <w:spacing w:after="0" w:line="240" w:lineRule="auto"/>
              <w:jc w:val="right"/>
            </w:pPr>
            <w:r>
              <w:rPr>
                <w:sz w:val="18"/>
              </w:rPr>
              <w:t>121,4</w:t>
            </w:r>
          </w:p>
        </w:tc>
      </w:tr>
    </w:tbl>
    <w:p w14:paraId="4EEAC46E" w14:textId="77777777" w:rsidR="00105561" w:rsidRDefault="00105561">
      <w:pPr>
        <w:spacing w:after="0"/>
      </w:pPr>
    </w:p>
    <w:p w14:paraId="1F7E8AB4" w14:textId="77777777" w:rsidR="00105561" w:rsidRDefault="00000000">
      <w:r>
        <w:t>Naknade za prijevoz povećane su zbog povećanja cijena prijevoza i većeg broja zaposlenih.</w:t>
      </w:r>
    </w:p>
    <w:p w14:paraId="549BCD97" w14:textId="77777777" w:rsidR="00105561" w:rsidRDefault="00105561"/>
    <w:p w14:paraId="782B0E84" w14:textId="77777777" w:rsidR="00105561" w:rsidRDefault="00000000">
      <w:pPr>
        <w:keepNext/>
        <w:spacing w:line="240" w:lineRule="auto"/>
        <w:jc w:val="center"/>
      </w:pPr>
      <w:r>
        <w:rPr>
          <w:sz w:val="28"/>
        </w:rPr>
        <w:t>Bilješka 18.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05561" w14:paraId="4995EB7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6D8D70A" w14:textId="77777777" w:rsidR="00105561"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7BE627D" w14:textId="77777777" w:rsidR="00105561"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DD536AC" w14:textId="77777777" w:rsidR="00105561"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79F0F1E" w14:textId="77777777" w:rsidR="00105561"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C13D94D" w14:textId="77777777" w:rsidR="00105561"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0842BEC" w14:textId="77777777" w:rsidR="00105561" w:rsidRDefault="00000000">
            <w:pPr>
              <w:keepNext/>
              <w:keepLines/>
              <w:spacing w:after="0" w:line="240" w:lineRule="auto"/>
              <w:jc w:val="center"/>
            </w:pPr>
            <w:r>
              <w:rPr>
                <w:b/>
                <w:sz w:val="18"/>
              </w:rPr>
              <w:t>Indeks (%)</w:t>
            </w:r>
          </w:p>
        </w:tc>
      </w:tr>
      <w:tr w:rsidR="00105561" w14:paraId="43079A03" w14:textId="77777777">
        <w:tblPrEx>
          <w:tblCellMar>
            <w:top w:w="0" w:type="dxa"/>
            <w:bottom w:w="0" w:type="dxa"/>
          </w:tblCellMar>
        </w:tblPrEx>
        <w:trPr>
          <w:cantSplit/>
          <w:trHeight w:val="560"/>
        </w:trPr>
        <w:tc>
          <w:tcPr>
            <w:tcW w:w="700" w:type="dxa"/>
            <w:tcMar>
              <w:top w:w="0" w:type="dxa"/>
              <w:bottom w:w="0" w:type="dxa"/>
            </w:tcMar>
            <w:vAlign w:val="center"/>
          </w:tcPr>
          <w:p w14:paraId="177792FF" w14:textId="77777777" w:rsidR="00105561" w:rsidRDefault="00000000">
            <w:pPr>
              <w:keepNext/>
              <w:keepLines/>
              <w:spacing w:after="0" w:line="240" w:lineRule="auto"/>
            </w:pPr>
            <w:r>
              <w:rPr>
                <w:sz w:val="18"/>
              </w:rPr>
              <w:t>3223</w:t>
            </w:r>
          </w:p>
        </w:tc>
        <w:tc>
          <w:tcPr>
            <w:tcW w:w="3180" w:type="dxa"/>
            <w:tcMar>
              <w:top w:w="0" w:type="dxa"/>
              <w:bottom w:w="0" w:type="dxa"/>
            </w:tcMar>
            <w:vAlign w:val="center"/>
          </w:tcPr>
          <w:p w14:paraId="614EF4C9" w14:textId="77777777" w:rsidR="00105561" w:rsidRDefault="00000000">
            <w:pPr>
              <w:keepNext/>
              <w:keepLines/>
              <w:spacing w:after="0" w:line="240" w:lineRule="auto"/>
            </w:pPr>
            <w:r>
              <w:rPr>
                <w:sz w:val="18"/>
              </w:rPr>
              <w:t>Energija</w:t>
            </w:r>
          </w:p>
        </w:tc>
        <w:tc>
          <w:tcPr>
            <w:tcW w:w="700" w:type="dxa"/>
            <w:tcMar>
              <w:top w:w="0" w:type="dxa"/>
              <w:bottom w:w="0" w:type="dxa"/>
            </w:tcMar>
            <w:vAlign w:val="center"/>
          </w:tcPr>
          <w:p w14:paraId="2D11AD0B" w14:textId="77777777" w:rsidR="00105561" w:rsidRDefault="00000000">
            <w:pPr>
              <w:keepNext/>
              <w:keepLines/>
              <w:spacing w:after="0" w:line="240" w:lineRule="auto"/>
            </w:pPr>
            <w:r>
              <w:rPr>
                <w:sz w:val="18"/>
              </w:rPr>
              <w:t>3223</w:t>
            </w:r>
          </w:p>
        </w:tc>
        <w:tc>
          <w:tcPr>
            <w:tcW w:w="1860" w:type="dxa"/>
            <w:tcMar>
              <w:top w:w="0" w:type="dxa"/>
              <w:bottom w:w="0" w:type="dxa"/>
            </w:tcMar>
            <w:vAlign w:val="center"/>
          </w:tcPr>
          <w:p w14:paraId="1A2859A9" w14:textId="77777777" w:rsidR="00105561" w:rsidRDefault="00000000">
            <w:pPr>
              <w:keepNext/>
              <w:keepLines/>
              <w:spacing w:after="0" w:line="240" w:lineRule="auto"/>
              <w:jc w:val="right"/>
            </w:pPr>
            <w:r>
              <w:rPr>
                <w:sz w:val="18"/>
              </w:rPr>
              <w:t>58.024,55</w:t>
            </w:r>
          </w:p>
        </w:tc>
        <w:tc>
          <w:tcPr>
            <w:tcW w:w="1860" w:type="dxa"/>
            <w:tcMar>
              <w:top w:w="0" w:type="dxa"/>
              <w:bottom w:w="0" w:type="dxa"/>
            </w:tcMar>
            <w:vAlign w:val="center"/>
          </w:tcPr>
          <w:p w14:paraId="190479FF" w14:textId="77777777" w:rsidR="00105561" w:rsidRDefault="00000000">
            <w:pPr>
              <w:keepNext/>
              <w:keepLines/>
              <w:spacing w:after="0" w:line="240" w:lineRule="auto"/>
              <w:jc w:val="right"/>
            </w:pPr>
            <w:r>
              <w:rPr>
                <w:sz w:val="18"/>
              </w:rPr>
              <w:t>62.783,74</w:t>
            </w:r>
          </w:p>
        </w:tc>
        <w:tc>
          <w:tcPr>
            <w:tcW w:w="700" w:type="dxa"/>
            <w:tcMar>
              <w:top w:w="0" w:type="dxa"/>
              <w:bottom w:w="0" w:type="dxa"/>
            </w:tcMar>
            <w:vAlign w:val="center"/>
          </w:tcPr>
          <w:p w14:paraId="5BC8D7B1" w14:textId="77777777" w:rsidR="00105561" w:rsidRDefault="00000000">
            <w:pPr>
              <w:keepNext/>
              <w:keepLines/>
              <w:spacing w:after="0" w:line="240" w:lineRule="auto"/>
              <w:jc w:val="right"/>
            </w:pPr>
            <w:r>
              <w:rPr>
                <w:sz w:val="18"/>
              </w:rPr>
              <w:t>108,2</w:t>
            </w:r>
          </w:p>
        </w:tc>
      </w:tr>
    </w:tbl>
    <w:p w14:paraId="15AC3078" w14:textId="77777777" w:rsidR="00105561" w:rsidRDefault="00105561">
      <w:pPr>
        <w:spacing w:after="0"/>
      </w:pPr>
    </w:p>
    <w:p w14:paraId="09CC3B19" w14:textId="77777777" w:rsidR="00105561" w:rsidRDefault="00000000">
      <w:r>
        <w:t>Na veće rashode za energiju utjecali su povećani troškovi za grijanje plinom. </w:t>
      </w:r>
    </w:p>
    <w:p w14:paraId="7B03D6D7" w14:textId="77777777" w:rsidR="00105561" w:rsidRDefault="00105561"/>
    <w:p w14:paraId="5D55EF1D" w14:textId="77777777" w:rsidR="00105561" w:rsidRDefault="00000000">
      <w:pPr>
        <w:keepNext/>
        <w:spacing w:line="240" w:lineRule="auto"/>
        <w:jc w:val="center"/>
      </w:pPr>
      <w:r>
        <w:rPr>
          <w:sz w:val="28"/>
        </w:rPr>
        <w:t>Bilješka 19.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05561" w14:paraId="2CB3AA6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4C312DC" w14:textId="77777777" w:rsidR="00105561"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AB76E46" w14:textId="77777777" w:rsidR="00105561"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A0E1992" w14:textId="77777777" w:rsidR="00105561"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9F7BAF9" w14:textId="77777777" w:rsidR="00105561"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FCCC07E" w14:textId="77777777" w:rsidR="00105561"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D017A0A" w14:textId="77777777" w:rsidR="00105561" w:rsidRDefault="00000000">
            <w:pPr>
              <w:keepNext/>
              <w:keepLines/>
              <w:spacing w:after="0" w:line="240" w:lineRule="auto"/>
              <w:jc w:val="center"/>
            </w:pPr>
            <w:r>
              <w:rPr>
                <w:b/>
                <w:sz w:val="18"/>
              </w:rPr>
              <w:t>Indeks (%)</w:t>
            </w:r>
          </w:p>
        </w:tc>
      </w:tr>
      <w:tr w:rsidR="00105561" w14:paraId="793C2068" w14:textId="77777777">
        <w:tblPrEx>
          <w:tblCellMar>
            <w:top w:w="0" w:type="dxa"/>
            <w:bottom w:w="0" w:type="dxa"/>
          </w:tblCellMar>
        </w:tblPrEx>
        <w:trPr>
          <w:cantSplit/>
          <w:trHeight w:val="560"/>
        </w:trPr>
        <w:tc>
          <w:tcPr>
            <w:tcW w:w="700" w:type="dxa"/>
            <w:tcMar>
              <w:top w:w="0" w:type="dxa"/>
              <w:bottom w:w="0" w:type="dxa"/>
            </w:tcMar>
            <w:vAlign w:val="center"/>
          </w:tcPr>
          <w:p w14:paraId="039DD472" w14:textId="77777777" w:rsidR="00105561" w:rsidRDefault="00000000">
            <w:pPr>
              <w:keepNext/>
              <w:keepLines/>
              <w:spacing w:after="0" w:line="240" w:lineRule="auto"/>
            </w:pPr>
            <w:r>
              <w:rPr>
                <w:sz w:val="18"/>
              </w:rPr>
              <w:t>3227</w:t>
            </w:r>
          </w:p>
        </w:tc>
        <w:tc>
          <w:tcPr>
            <w:tcW w:w="3180" w:type="dxa"/>
            <w:tcMar>
              <w:top w:w="0" w:type="dxa"/>
              <w:bottom w:w="0" w:type="dxa"/>
            </w:tcMar>
            <w:vAlign w:val="center"/>
          </w:tcPr>
          <w:p w14:paraId="58EBB968" w14:textId="77777777" w:rsidR="00105561" w:rsidRDefault="00000000">
            <w:pPr>
              <w:keepNext/>
              <w:keepLines/>
              <w:spacing w:after="0" w:line="240" w:lineRule="auto"/>
            </w:pPr>
            <w:r>
              <w:rPr>
                <w:sz w:val="18"/>
              </w:rPr>
              <w:t>Službena, radna i zaštitna odjeća i obuća</w:t>
            </w:r>
          </w:p>
        </w:tc>
        <w:tc>
          <w:tcPr>
            <w:tcW w:w="700" w:type="dxa"/>
            <w:tcMar>
              <w:top w:w="0" w:type="dxa"/>
              <w:bottom w:w="0" w:type="dxa"/>
            </w:tcMar>
            <w:vAlign w:val="center"/>
          </w:tcPr>
          <w:p w14:paraId="6634BA1F" w14:textId="77777777" w:rsidR="00105561" w:rsidRDefault="00000000">
            <w:pPr>
              <w:keepNext/>
              <w:keepLines/>
              <w:spacing w:after="0" w:line="240" w:lineRule="auto"/>
            </w:pPr>
            <w:r>
              <w:rPr>
                <w:sz w:val="18"/>
              </w:rPr>
              <w:t>3227</w:t>
            </w:r>
          </w:p>
        </w:tc>
        <w:tc>
          <w:tcPr>
            <w:tcW w:w="1860" w:type="dxa"/>
            <w:tcMar>
              <w:top w:w="0" w:type="dxa"/>
              <w:bottom w:w="0" w:type="dxa"/>
            </w:tcMar>
            <w:vAlign w:val="center"/>
          </w:tcPr>
          <w:p w14:paraId="0FD53452" w14:textId="77777777" w:rsidR="00105561" w:rsidRDefault="00000000">
            <w:pPr>
              <w:keepNext/>
              <w:keepLines/>
              <w:spacing w:after="0" w:line="240" w:lineRule="auto"/>
              <w:jc w:val="right"/>
            </w:pPr>
            <w:r>
              <w:rPr>
                <w:sz w:val="18"/>
              </w:rPr>
              <w:t>1.494,72</w:t>
            </w:r>
          </w:p>
        </w:tc>
        <w:tc>
          <w:tcPr>
            <w:tcW w:w="1860" w:type="dxa"/>
            <w:tcMar>
              <w:top w:w="0" w:type="dxa"/>
              <w:bottom w:w="0" w:type="dxa"/>
            </w:tcMar>
            <w:vAlign w:val="center"/>
          </w:tcPr>
          <w:p w14:paraId="0144E757" w14:textId="77777777" w:rsidR="00105561" w:rsidRDefault="00000000">
            <w:pPr>
              <w:keepNext/>
              <w:keepLines/>
              <w:spacing w:after="0" w:line="240" w:lineRule="auto"/>
              <w:jc w:val="right"/>
            </w:pPr>
            <w:r>
              <w:rPr>
                <w:sz w:val="18"/>
              </w:rPr>
              <w:t>10.371,41</w:t>
            </w:r>
          </w:p>
        </w:tc>
        <w:tc>
          <w:tcPr>
            <w:tcW w:w="700" w:type="dxa"/>
            <w:tcMar>
              <w:top w:w="0" w:type="dxa"/>
              <w:bottom w:w="0" w:type="dxa"/>
            </w:tcMar>
            <w:vAlign w:val="center"/>
          </w:tcPr>
          <w:p w14:paraId="4B6B94E6" w14:textId="77777777" w:rsidR="00105561" w:rsidRDefault="00000000">
            <w:pPr>
              <w:keepNext/>
              <w:keepLines/>
              <w:spacing w:after="0" w:line="240" w:lineRule="auto"/>
              <w:jc w:val="right"/>
            </w:pPr>
            <w:r>
              <w:rPr>
                <w:sz w:val="18"/>
              </w:rPr>
              <w:t>693,9</w:t>
            </w:r>
          </w:p>
        </w:tc>
      </w:tr>
    </w:tbl>
    <w:p w14:paraId="12B42DD2" w14:textId="77777777" w:rsidR="00105561" w:rsidRDefault="00105561">
      <w:pPr>
        <w:spacing w:after="0"/>
      </w:pPr>
    </w:p>
    <w:p w14:paraId="254E8478" w14:textId="77777777" w:rsidR="00105561" w:rsidRDefault="00000000">
      <w:pPr>
        <w:jc w:val="both"/>
      </w:pPr>
      <w:r>
        <w:t>Veći rashodi za službenu i radnu odjeću odnose se na evidentiranje suhih ronilačkih odijela za provođenje znanstveno istraživačkog projekta na Fakultetu.   </w:t>
      </w:r>
    </w:p>
    <w:p w14:paraId="503CA564" w14:textId="77777777" w:rsidR="00105561" w:rsidRDefault="00105561"/>
    <w:p w14:paraId="41A1D734" w14:textId="77777777" w:rsidR="00105561" w:rsidRDefault="00000000">
      <w:pPr>
        <w:keepNext/>
        <w:spacing w:line="240" w:lineRule="auto"/>
        <w:jc w:val="center"/>
      </w:pPr>
      <w:r>
        <w:rPr>
          <w:sz w:val="28"/>
        </w:rPr>
        <w:t>Bilješka 20.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05561" w14:paraId="5879E7F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8C9B29D" w14:textId="77777777" w:rsidR="00105561"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CD6313C" w14:textId="77777777" w:rsidR="00105561"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02BC2E8" w14:textId="77777777" w:rsidR="00105561"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9E11EB6" w14:textId="77777777" w:rsidR="00105561"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C6423A1" w14:textId="77777777" w:rsidR="00105561"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8B7A677" w14:textId="77777777" w:rsidR="00105561" w:rsidRDefault="00000000">
            <w:pPr>
              <w:keepNext/>
              <w:keepLines/>
              <w:spacing w:after="0" w:line="240" w:lineRule="auto"/>
              <w:jc w:val="center"/>
            </w:pPr>
            <w:r>
              <w:rPr>
                <w:b/>
                <w:sz w:val="18"/>
              </w:rPr>
              <w:t>Indeks (%)</w:t>
            </w:r>
          </w:p>
        </w:tc>
      </w:tr>
      <w:tr w:rsidR="00105561" w14:paraId="7CC60190" w14:textId="77777777">
        <w:tblPrEx>
          <w:tblCellMar>
            <w:top w:w="0" w:type="dxa"/>
            <w:bottom w:w="0" w:type="dxa"/>
          </w:tblCellMar>
        </w:tblPrEx>
        <w:trPr>
          <w:cantSplit/>
          <w:trHeight w:val="560"/>
        </w:trPr>
        <w:tc>
          <w:tcPr>
            <w:tcW w:w="700" w:type="dxa"/>
            <w:tcMar>
              <w:top w:w="0" w:type="dxa"/>
              <w:bottom w:w="0" w:type="dxa"/>
            </w:tcMar>
            <w:vAlign w:val="center"/>
          </w:tcPr>
          <w:p w14:paraId="57C3D1AE" w14:textId="77777777" w:rsidR="00105561" w:rsidRDefault="00000000">
            <w:pPr>
              <w:keepNext/>
              <w:keepLines/>
              <w:spacing w:after="0" w:line="240" w:lineRule="auto"/>
            </w:pPr>
            <w:r>
              <w:rPr>
                <w:sz w:val="18"/>
              </w:rPr>
              <w:t>3235</w:t>
            </w:r>
          </w:p>
        </w:tc>
        <w:tc>
          <w:tcPr>
            <w:tcW w:w="3180" w:type="dxa"/>
            <w:tcMar>
              <w:top w:w="0" w:type="dxa"/>
              <w:bottom w:w="0" w:type="dxa"/>
            </w:tcMar>
            <w:vAlign w:val="center"/>
          </w:tcPr>
          <w:p w14:paraId="0E4FE4D8" w14:textId="77777777" w:rsidR="00105561" w:rsidRDefault="00000000">
            <w:pPr>
              <w:keepNext/>
              <w:keepLines/>
              <w:spacing w:after="0" w:line="240" w:lineRule="auto"/>
            </w:pPr>
            <w:r>
              <w:rPr>
                <w:sz w:val="18"/>
              </w:rPr>
              <w:t>Zakupnine i najamnine</w:t>
            </w:r>
          </w:p>
        </w:tc>
        <w:tc>
          <w:tcPr>
            <w:tcW w:w="700" w:type="dxa"/>
            <w:tcMar>
              <w:top w:w="0" w:type="dxa"/>
              <w:bottom w:w="0" w:type="dxa"/>
            </w:tcMar>
            <w:vAlign w:val="center"/>
          </w:tcPr>
          <w:p w14:paraId="2A0AE3C6" w14:textId="77777777" w:rsidR="00105561" w:rsidRDefault="00000000">
            <w:pPr>
              <w:keepNext/>
              <w:keepLines/>
              <w:spacing w:after="0" w:line="240" w:lineRule="auto"/>
            </w:pPr>
            <w:r>
              <w:rPr>
                <w:sz w:val="18"/>
              </w:rPr>
              <w:t>3235</w:t>
            </w:r>
          </w:p>
        </w:tc>
        <w:tc>
          <w:tcPr>
            <w:tcW w:w="1860" w:type="dxa"/>
            <w:tcMar>
              <w:top w:w="0" w:type="dxa"/>
              <w:bottom w:w="0" w:type="dxa"/>
            </w:tcMar>
            <w:vAlign w:val="center"/>
          </w:tcPr>
          <w:p w14:paraId="7ED0EA55" w14:textId="77777777" w:rsidR="00105561" w:rsidRDefault="00000000">
            <w:pPr>
              <w:keepNext/>
              <w:keepLines/>
              <w:spacing w:after="0" w:line="240" w:lineRule="auto"/>
              <w:jc w:val="right"/>
            </w:pPr>
            <w:r>
              <w:rPr>
                <w:sz w:val="18"/>
              </w:rPr>
              <w:t>141.986,59</w:t>
            </w:r>
          </w:p>
        </w:tc>
        <w:tc>
          <w:tcPr>
            <w:tcW w:w="1860" w:type="dxa"/>
            <w:tcMar>
              <w:top w:w="0" w:type="dxa"/>
              <w:bottom w:w="0" w:type="dxa"/>
            </w:tcMar>
            <w:vAlign w:val="center"/>
          </w:tcPr>
          <w:p w14:paraId="2FBAC30E" w14:textId="77777777" w:rsidR="00105561" w:rsidRDefault="00000000">
            <w:pPr>
              <w:keepNext/>
              <w:keepLines/>
              <w:spacing w:after="0" w:line="240" w:lineRule="auto"/>
              <w:jc w:val="right"/>
            </w:pPr>
            <w:r>
              <w:rPr>
                <w:sz w:val="18"/>
              </w:rPr>
              <w:t>151.558,23</w:t>
            </w:r>
          </w:p>
        </w:tc>
        <w:tc>
          <w:tcPr>
            <w:tcW w:w="700" w:type="dxa"/>
            <w:tcMar>
              <w:top w:w="0" w:type="dxa"/>
              <w:bottom w:w="0" w:type="dxa"/>
            </w:tcMar>
            <w:vAlign w:val="center"/>
          </w:tcPr>
          <w:p w14:paraId="2AD9B373" w14:textId="77777777" w:rsidR="00105561" w:rsidRDefault="00000000">
            <w:pPr>
              <w:keepNext/>
              <w:keepLines/>
              <w:spacing w:after="0" w:line="240" w:lineRule="auto"/>
              <w:jc w:val="right"/>
            </w:pPr>
            <w:r>
              <w:rPr>
                <w:sz w:val="18"/>
              </w:rPr>
              <w:t>106,7</w:t>
            </w:r>
          </w:p>
        </w:tc>
      </w:tr>
    </w:tbl>
    <w:p w14:paraId="5336F9C2" w14:textId="77777777" w:rsidR="00105561" w:rsidRDefault="00105561">
      <w:pPr>
        <w:spacing w:after="0"/>
      </w:pPr>
    </w:p>
    <w:p w14:paraId="7F185878" w14:textId="77777777" w:rsidR="00105561" w:rsidRDefault="00000000">
      <w:pPr>
        <w:jc w:val="both"/>
      </w:pPr>
      <w:r>
        <w:t xml:space="preserve">Troškovi zakupnina i najamnina veći su za 6,7% a odnose se na licence za razne programe za  nastavu i cjeloživotno obrazovanje u iznosu od 42.245,70 eura, zakup prostora edukativne radionice Torpedo u iznosu od 41.381,40 eura, zakup fotokopirnih  uređaja i ostale opreme u iznosu od 22.411,03 eura,  zakup prostora za depozit arhivske građe i najam servera u iznosu </w:t>
      </w:r>
      <w:r>
        <w:lastRenderedPageBreak/>
        <w:t>od 13.617,45 eura, zakup vatrogasnog poligona za održavanje tečajeva u iznosu od 10.219,99 eura i zakup plovila u iznosu od 17.950,31 eura za održavanje plovidbene i stručne prakse. </w:t>
      </w:r>
    </w:p>
    <w:p w14:paraId="6407015B" w14:textId="77777777" w:rsidR="00105561" w:rsidRDefault="00105561"/>
    <w:p w14:paraId="7BCBF35F" w14:textId="77777777" w:rsidR="00105561" w:rsidRDefault="00000000">
      <w:pPr>
        <w:keepNext/>
        <w:spacing w:line="240" w:lineRule="auto"/>
        <w:jc w:val="center"/>
      </w:pPr>
      <w:r>
        <w:rPr>
          <w:sz w:val="28"/>
        </w:rPr>
        <w:t>Bilješka 21.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05561" w14:paraId="748536F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A447241" w14:textId="77777777" w:rsidR="00105561"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EE01370" w14:textId="77777777" w:rsidR="00105561"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55671C6" w14:textId="77777777" w:rsidR="00105561"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0579AB7" w14:textId="77777777" w:rsidR="00105561"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BD71387" w14:textId="77777777" w:rsidR="00105561"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51512F5" w14:textId="77777777" w:rsidR="00105561" w:rsidRDefault="00000000">
            <w:pPr>
              <w:keepNext/>
              <w:keepLines/>
              <w:spacing w:after="0" w:line="240" w:lineRule="auto"/>
              <w:jc w:val="center"/>
            </w:pPr>
            <w:r>
              <w:rPr>
                <w:b/>
                <w:sz w:val="18"/>
              </w:rPr>
              <w:t>Indeks (%)</w:t>
            </w:r>
          </w:p>
        </w:tc>
      </w:tr>
      <w:tr w:rsidR="00105561" w14:paraId="3C8659F0" w14:textId="77777777">
        <w:tblPrEx>
          <w:tblCellMar>
            <w:top w:w="0" w:type="dxa"/>
            <w:bottom w:w="0" w:type="dxa"/>
          </w:tblCellMar>
        </w:tblPrEx>
        <w:trPr>
          <w:cantSplit/>
          <w:trHeight w:val="560"/>
        </w:trPr>
        <w:tc>
          <w:tcPr>
            <w:tcW w:w="700" w:type="dxa"/>
            <w:tcMar>
              <w:top w:w="0" w:type="dxa"/>
              <w:bottom w:w="0" w:type="dxa"/>
            </w:tcMar>
            <w:vAlign w:val="center"/>
          </w:tcPr>
          <w:p w14:paraId="359991A5" w14:textId="77777777" w:rsidR="00105561" w:rsidRDefault="00000000">
            <w:pPr>
              <w:keepNext/>
              <w:keepLines/>
              <w:spacing w:after="0" w:line="240" w:lineRule="auto"/>
            </w:pPr>
            <w:r>
              <w:rPr>
                <w:sz w:val="18"/>
              </w:rPr>
              <w:t>3236</w:t>
            </w:r>
          </w:p>
        </w:tc>
        <w:tc>
          <w:tcPr>
            <w:tcW w:w="3180" w:type="dxa"/>
            <w:tcMar>
              <w:top w:w="0" w:type="dxa"/>
              <w:bottom w:w="0" w:type="dxa"/>
            </w:tcMar>
            <w:vAlign w:val="center"/>
          </w:tcPr>
          <w:p w14:paraId="5F75358A" w14:textId="77777777" w:rsidR="00105561" w:rsidRDefault="00000000">
            <w:pPr>
              <w:keepNext/>
              <w:keepLines/>
              <w:spacing w:after="0" w:line="240" w:lineRule="auto"/>
            </w:pPr>
            <w:r>
              <w:rPr>
                <w:sz w:val="18"/>
              </w:rPr>
              <w:t>Zdravstvene i veterinarske usluge</w:t>
            </w:r>
          </w:p>
        </w:tc>
        <w:tc>
          <w:tcPr>
            <w:tcW w:w="700" w:type="dxa"/>
            <w:tcMar>
              <w:top w:w="0" w:type="dxa"/>
              <w:bottom w:w="0" w:type="dxa"/>
            </w:tcMar>
            <w:vAlign w:val="center"/>
          </w:tcPr>
          <w:p w14:paraId="2E93DDBA" w14:textId="77777777" w:rsidR="00105561" w:rsidRDefault="00000000">
            <w:pPr>
              <w:keepNext/>
              <w:keepLines/>
              <w:spacing w:after="0" w:line="240" w:lineRule="auto"/>
            </w:pPr>
            <w:r>
              <w:rPr>
                <w:sz w:val="18"/>
              </w:rPr>
              <w:t>3236</w:t>
            </w:r>
          </w:p>
        </w:tc>
        <w:tc>
          <w:tcPr>
            <w:tcW w:w="1860" w:type="dxa"/>
            <w:tcMar>
              <w:top w:w="0" w:type="dxa"/>
              <w:bottom w:w="0" w:type="dxa"/>
            </w:tcMar>
            <w:vAlign w:val="center"/>
          </w:tcPr>
          <w:p w14:paraId="79AE064D" w14:textId="77777777" w:rsidR="00105561" w:rsidRDefault="00000000">
            <w:pPr>
              <w:keepNext/>
              <w:keepLines/>
              <w:spacing w:after="0" w:line="240" w:lineRule="auto"/>
              <w:jc w:val="right"/>
            </w:pPr>
            <w:r>
              <w:rPr>
                <w:sz w:val="18"/>
              </w:rPr>
              <w:t>8.228,61</w:t>
            </w:r>
          </w:p>
        </w:tc>
        <w:tc>
          <w:tcPr>
            <w:tcW w:w="1860" w:type="dxa"/>
            <w:tcMar>
              <w:top w:w="0" w:type="dxa"/>
              <w:bottom w:w="0" w:type="dxa"/>
            </w:tcMar>
            <w:vAlign w:val="center"/>
          </w:tcPr>
          <w:p w14:paraId="2434C118" w14:textId="77777777" w:rsidR="00105561" w:rsidRDefault="00000000">
            <w:pPr>
              <w:keepNext/>
              <w:keepLines/>
              <w:spacing w:after="0" w:line="240" w:lineRule="auto"/>
              <w:jc w:val="right"/>
            </w:pPr>
            <w:r>
              <w:rPr>
                <w:sz w:val="18"/>
              </w:rPr>
              <w:t>10.122,00</w:t>
            </w:r>
          </w:p>
        </w:tc>
        <w:tc>
          <w:tcPr>
            <w:tcW w:w="700" w:type="dxa"/>
            <w:tcMar>
              <w:top w:w="0" w:type="dxa"/>
              <w:bottom w:w="0" w:type="dxa"/>
            </w:tcMar>
            <w:vAlign w:val="center"/>
          </w:tcPr>
          <w:p w14:paraId="16E078C8" w14:textId="77777777" w:rsidR="00105561" w:rsidRDefault="00000000">
            <w:pPr>
              <w:keepNext/>
              <w:keepLines/>
              <w:spacing w:after="0" w:line="240" w:lineRule="auto"/>
              <w:jc w:val="right"/>
            </w:pPr>
            <w:r>
              <w:rPr>
                <w:sz w:val="18"/>
              </w:rPr>
              <w:t>123,0</w:t>
            </w:r>
          </w:p>
        </w:tc>
      </w:tr>
    </w:tbl>
    <w:p w14:paraId="09351865" w14:textId="77777777" w:rsidR="00105561" w:rsidRDefault="00105561">
      <w:pPr>
        <w:spacing w:after="0"/>
      </w:pPr>
    </w:p>
    <w:p w14:paraId="54F583C0" w14:textId="77777777" w:rsidR="00105561" w:rsidRDefault="00000000">
      <w:pPr>
        <w:jc w:val="both"/>
      </w:pPr>
      <w:r>
        <w:t>Povećani rashodi za zdravstvene i veterinarske usluge osim preventivnog sistematskog pregleda za zaposlenike obuhvaćaju i obvezne preglede za studente kojima je to ove godine bio uvjet za obavljanje stručne prakse. </w:t>
      </w:r>
    </w:p>
    <w:p w14:paraId="69CC4B44" w14:textId="77777777" w:rsidR="00105561" w:rsidRDefault="00105561"/>
    <w:p w14:paraId="5D706CD5" w14:textId="77777777" w:rsidR="00105561" w:rsidRDefault="00000000">
      <w:pPr>
        <w:keepNext/>
        <w:spacing w:line="240" w:lineRule="auto"/>
        <w:jc w:val="center"/>
      </w:pPr>
      <w:r>
        <w:rPr>
          <w:sz w:val="28"/>
        </w:rPr>
        <w:t>Bilješka 22.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05561" w14:paraId="4D2F419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D0C0E42" w14:textId="77777777" w:rsidR="00105561"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28BBC84" w14:textId="77777777" w:rsidR="00105561"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5CBD2D2" w14:textId="77777777" w:rsidR="00105561"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76384FA" w14:textId="77777777" w:rsidR="00105561"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FF1379F" w14:textId="77777777" w:rsidR="00105561"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3EFAF91" w14:textId="77777777" w:rsidR="00105561" w:rsidRDefault="00000000">
            <w:pPr>
              <w:keepNext/>
              <w:keepLines/>
              <w:spacing w:after="0" w:line="240" w:lineRule="auto"/>
              <w:jc w:val="center"/>
            </w:pPr>
            <w:r>
              <w:rPr>
                <w:b/>
                <w:sz w:val="18"/>
              </w:rPr>
              <w:t>Indeks (%)</w:t>
            </w:r>
          </w:p>
        </w:tc>
      </w:tr>
      <w:tr w:rsidR="00105561" w14:paraId="2663F8A1" w14:textId="77777777">
        <w:tblPrEx>
          <w:tblCellMar>
            <w:top w:w="0" w:type="dxa"/>
            <w:bottom w:w="0" w:type="dxa"/>
          </w:tblCellMar>
        </w:tblPrEx>
        <w:trPr>
          <w:cantSplit/>
          <w:trHeight w:val="560"/>
        </w:trPr>
        <w:tc>
          <w:tcPr>
            <w:tcW w:w="700" w:type="dxa"/>
            <w:tcMar>
              <w:top w:w="0" w:type="dxa"/>
              <w:bottom w:w="0" w:type="dxa"/>
            </w:tcMar>
            <w:vAlign w:val="center"/>
          </w:tcPr>
          <w:p w14:paraId="28F417B2" w14:textId="77777777" w:rsidR="00105561" w:rsidRDefault="00000000">
            <w:pPr>
              <w:keepNext/>
              <w:keepLines/>
              <w:spacing w:after="0" w:line="240" w:lineRule="auto"/>
            </w:pPr>
            <w:r>
              <w:rPr>
                <w:sz w:val="18"/>
              </w:rPr>
              <w:t>3237</w:t>
            </w:r>
          </w:p>
        </w:tc>
        <w:tc>
          <w:tcPr>
            <w:tcW w:w="3180" w:type="dxa"/>
            <w:tcMar>
              <w:top w:w="0" w:type="dxa"/>
              <w:bottom w:w="0" w:type="dxa"/>
            </w:tcMar>
            <w:vAlign w:val="center"/>
          </w:tcPr>
          <w:p w14:paraId="373DD956" w14:textId="77777777" w:rsidR="00105561" w:rsidRDefault="00000000">
            <w:pPr>
              <w:keepNext/>
              <w:keepLines/>
              <w:spacing w:after="0" w:line="240" w:lineRule="auto"/>
            </w:pPr>
            <w:r>
              <w:rPr>
                <w:sz w:val="18"/>
              </w:rPr>
              <w:t>Intelektualne i osobne usluge</w:t>
            </w:r>
          </w:p>
        </w:tc>
        <w:tc>
          <w:tcPr>
            <w:tcW w:w="700" w:type="dxa"/>
            <w:tcMar>
              <w:top w:w="0" w:type="dxa"/>
              <w:bottom w:w="0" w:type="dxa"/>
            </w:tcMar>
            <w:vAlign w:val="center"/>
          </w:tcPr>
          <w:p w14:paraId="5AC791A1" w14:textId="77777777" w:rsidR="00105561" w:rsidRDefault="00000000">
            <w:pPr>
              <w:keepNext/>
              <w:keepLines/>
              <w:spacing w:after="0" w:line="240" w:lineRule="auto"/>
            </w:pPr>
            <w:r>
              <w:rPr>
                <w:sz w:val="18"/>
              </w:rPr>
              <w:t>3237</w:t>
            </w:r>
          </w:p>
        </w:tc>
        <w:tc>
          <w:tcPr>
            <w:tcW w:w="1860" w:type="dxa"/>
            <w:tcMar>
              <w:top w:w="0" w:type="dxa"/>
              <w:bottom w:w="0" w:type="dxa"/>
            </w:tcMar>
            <w:vAlign w:val="center"/>
          </w:tcPr>
          <w:p w14:paraId="352AC214" w14:textId="77777777" w:rsidR="00105561" w:rsidRDefault="00000000">
            <w:pPr>
              <w:keepNext/>
              <w:keepLines/>
              <w:spacing w:after="0" w:line="240" w:lineRule="auto"/>
              <w:jc w:val="right"/>
            </w:pPr>
            <w:r>
              <w:rPr>
                <w:sz w:val="18"/>
              </w:rPr>
              <w:t>516.324,43</w:t>
            </w:r>
          </w:p>
        </w:tc>
        <w:tc>
          <w:tcPr>
            <w:tcW w:w="1860" w:type="dxa"/>
            <w:tcMar>
              <w:top w:w="0" w:type="dxa"/>
              <w:bottom w:w="0" w:type="dxa"/>
            </w:tcMar>
            <w:vAlign w:val="center"/>
          </w:tcPr>
          <w:p w14:paraId="44644505" w14:textId="77777777" w:rsidR="00105561" w:rsidRDefault="00000000">
            <w:pPr>
              <w:keepNext/>
              <w:keepLines/>
              <w:spacing w:after="0" w:line="240" w:lineRule="auto"/>
              <w:jc w:val="right"/>
            </w:pPr>
            <w:r>
              <w:rPr>
                <w:sz w:val="18"/>
              </w:rPr>
              <w:t>629.202,49</w:t>
            </w:r>
          </w:p>
        </w:tc>
        <w:tc>
          <w:tcPr>
            <w:tcW w:w="700" w:type="dxa"/>
            <w:tcMar>
              <w:top w:w="0" w:type="dxa"/>
              <w:bottom w:w="0" w:type="dxa"/>
            </w:tcMar>
            <w:vAlign w:val="center"/>
          </w:tcPr>
          <w:p w14:paraId="55B89CCB" w14:textId="77777777" w:rsidR="00105561" w:rsidRDefault="00000000">
            <w:pPr>
              <w:keepNext/>
              <w:keepLines/>
              <w:spacing w:after="0" w:line="240" w:lineRule="auto"/>
              <w:jc w:val="right"/>
            </w:pPr>
            <w:r>
              <w:rPr>
                <w:sz w:val="18"/>
              </w:rPr>
              <w:t>121,9</w:t>
            </w:r>
          </w:p>
        </w:tc>
      </w:tr>
    </w:tbl>
    <w:p w14:paraId="64460D01" w14:textId="77777777" w:rsidR="00105561" w:rsidRDefault="00105561">
      <w:pPr>
        <w:spacing w:after="0"/>
      </w:pPr>
    </w:p>
    <w:p w14:paraId="6E6DDB5E" w14:textId="77777777" w:rsidR="00105561" w:rsidRDefault="00000000">
      <w:pPr>
        <w:jc w:val="both"/>
      </w:pPr>
      <w:r>
        <w:t>U strukturi rashoda za usluge vrijednosno su najveći rashodi za intelektualne i osobne usluge u iznosu od 629.202,49 eura među kojima su najznačajniji izdaci za autorske honorare za rad na stručnim projektima za gospodarstvo u iznosu od 288.907,00 eura, ugovori o djelu temeljem vanjske suradnje u nastavi u iznosu od 48.240,48 eura, ugovori s vanjskim suradnicima za održavanje tečajeva za pomorce u iznosu od 18.189,00 eura, usluge za objavu znanstvenih radova u iznosu od 19.969,15 eura, savjetodavne i usluge izrade dokumentacije za prijavu projekata u iznosu 157.075,00 eura, usluge rada studenata i učenika preko Studentskog centra i Doma mladih u iznosu od 38.904,14 eura i dr.</w:t>
      </w:r>
    </w:p>
    <w:p w14:paraId="07859698" w14:textId="77777777" w:rsidR="00105561" w:rsidRDefault="00105561"/>
    <w:p w14:paraId="2AEEF8FF" w14:textId="77777777" w:rsidR="00105561" w:rsidRDefault="00000000">
      <w:pPr>
        <w:keepNext/>
        <w:spacing w:line="240" w:lineRule="auto"/>
        <w:jc w:val="center"/>
      </w:pPr>
      <w:r>
        <w:rPr>
          <w:sz w:val="28"/>
        </w:rPr>
        <w:t>Bilješka 23.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05561" w14:paraId="258835C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CD315D2" w14:textId="77777777" w:rsidR="00105561"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8F8E232" w14:textId="77777777" w:rsidR="00105561"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F0A67E3" w14:textId="77777777" w:rsidR="00105561"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D40537F" w14:textId="77777777" w:rsidR="00105561"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7CFF56B" w14:textId="77777777" w:rsidR="00105561"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006F240" w14:textId="77777777" w:rsidR="00105561" w:rsidRDefault="00000000">
            <w:pPr>
              <w:keepNext/>
              <w:keepLines/>
              <w:spacing w:after="0" w:line="240" w:lineRule="auto"/>
              <w:jc w:val="center"/>
            </w:pPr>
            <w:r>
              <w:rPr>
                <w:b/>
                <w:sz w:val="18"/>
              </w:rPr>
              <w:t>Indeks (%)</w:t>
            </w:r>
          </w:p>
        </w:tc>
      </w:tr>
      <w:tr w:rsidR="00105561" w14:paraId="3791C414" w14:textId="77777777">
        <w:tblPrEx>
          <w:tblCellMar>
            <w:top w:w="0" w:type="dxa"/>
            <w:bottom w:w="0" w:type="dxa"/>
          </w:tblCellMar>
        </w:tblPrEx>
        <w:trPr>
          <w:cantSplit/>
          <w:trHeight w:val="560"/>
        </w:trPr>
        <w:tc>
          <w:tcPr>
            <w:tcW w:w="700" w:type="dxa"/>
            <w:tcMar>
              <w:top w:w="0" w:type="dxa"/>
              <w:bottom w:w="0" w:type="dxa"/>
            </w:tcMar>
            <w:vAlign w:val="center"/>
          </w:tcPr>
          <w:p w14:paraId="7583D36E" w14:textId="77777777" w:rsidR="00105561" w:rsidRDefault="00000000">
            <w:pPr>
              <w:keepNext/>
              <w:keepLines/>
              <w:spacing w:after="0" w:line="240" w:lineRule="auto"/>
            </w:pPr>
            <w:r>
              <w:rPr>
                <w:sz w:val="18"/>
              </w:rPr>
              <w:t>3238</w:t>
            </w:r>
          </w:p>
        </w:tc>
        <w:tc>
          <w:tcPr>
            <w:tcW w:w="3180" w:type="dxa"/>
            <w:tcMar>
              <w:top w:w="0" w:type="dxa"/>
              <w:bottom w:w="0" w:type="dxa"/>
            </w:tcMar>
            <w:vAlign w:val="center"/>
          </w:tcPr>
          <w:p w14:paraId="5D531D05" w14:textId="77777777" w:rsidR="00105561" w:rsidRDefault="00000000">
            <w:pPr>
              <w:keepNext/>
              <w:keepLines/>
              <w:spacing w:after="0" w:line="240" w:lineRule="auto"/>
            </w:pPr>
            <w:r>
              <w:rPr>
                <w:sz w:val="18"/>
              </w:rPr>
              <w:t>Računalne usluge</w:t>
            </w:r>
          </w:p>
        </w:tc>
        <w:tc>
          <w:tcPr>
            <w:tcW w:w="700" w:type="dxa"/>
            <w:tcMar>
              <w:top w:w="0" w:type="dxa"/>
              <w:bottom w:w="0" w:type="dxa"/>
            </w:tcMar>
            <w:vAlign w:val="center"/>
          </w:tcPr>
          <w:p w14:paraId="588D1E9C" w14:textId="77777777" w:rsidR="00105561" w:rsidRDefault="00000000">
            <w:pPr>
              <w:keepNext/>
              <w:keepLines/>
              <w:spacing w:after="0" w:line="240" w:lineRule="auto"/>
            </w:pPr>
            <w:r>
              <w:rPr>
                <w:sz w:val="18"/>
              </w:rPr>
              <w:t>3238</w:t>
            </w:r>
          </w:p>
        </w:tc>
        <w:tc>
          <w:tcPr>
            <w:tcW w:w="1860" w:type="dxa"/>
            <w:tcMar>
              <w:top w:w="0" w:type="dxa"/>
              <w:bottom w:w="0" w:type="dxa"/>
            </w:tcMar>
            <w:vAlign w:val="center"/>
          </w:tcPr>
          <w:p w14:paraId="38DC1FB0" w14:textId="77777777" w:rsidR="00105561" w:rsidRDefault="00000000">
            <w:pPr>
              <w:keepNext/>
              <w:keepLines/>
              <w:spacing w:after="0" w:line="240" w:lineRule="auto"/>
              <w:jc w:val="right"/>
            </w:pPr>
            <w:r>
              <w:rPr>
                <w:sz w:val="18"/>
              </w:rPr>
              <w:t>52.214,51</w:t>
            </w:r>
          </w:p>
        </w:tc>
        <w:tc>
          <w:tcPr>
            <w:tcW w:w="1860" w:type="dxa"/>
            <w:tcMar>
              <w:top w:w="0" w:type="dxa"/>
              <w:bottom w:w="0" w:type="dxa"/>
            </w:tcMar>
            <w:vAlign w:val="center"/>
          </w:tcPr>
          <w:p w14:paraId="6FB874AF" w14:textId="77777777" w:rsidR="00105561" w:rsidRDefault="00000000">
            <w:pPr>
              <w:keepNext/>
              <w:keepLines/>
              <w:spacing w:after="0" w:line="240" w:lineRule="auto"/>
              <w:jc w:val="right"/>
            </w:pPr>
            <w:r>
              <w:rPr>
                <w:sz w:val="18"/>
              </w:rPr>
              <w:t>83.361,52</w:t>
            </w:r>
          </w:p>
        </w:tc>
        <w:tc>
          <w:tcPr>
            <w:tcW w:w="700" w:type="dxa"/>
            <w:tcMar>
              <w:top w:w="0" w:type="dxa"/>
              <w:bottom w:w="0" w:type="dxa"/>
            </w:tcMar>
            <w:vAlign w:val="center"/>
          </w:tcPr>
          <w:p w14:paraId="12613DEF" w14:textId="77777777" w:rsidR="00105561" w:rsidRDefault="00000000">
            <w:pPr>
              <w:keepNext/>
              <w:keepLines/>
              <w:spacing w:after="0" w:line="240" w:lineRule="auto"/>
              <w:jc w:val="right"/>
            </w:pPr>
            <w:r>
              <w:rPr>
                <w:sz w:val="18"/>
              </w:rPr>
              <w:t>159,7</w:t>
            </w:r>
          </w:p>
        </w:tc>
      </w:tr>
    </w:tbl>
    <w:p w14:paraId="6E1C0D54" w14:textId="77777777" w:rsidR="00105561" w:rsidRDefault="00105561">
      <w:pPr>
        <w:spacing w:after="0"/>
      </w:pPr>
    </w:p>
    <w:p w14:paraId="45383618" w14:textId="77777777" w:rsidR="00105561" w:rsidRDefault="00000000">
      <w:pPr>
        <w:jc w:val="both"/>
      </w:pPr>
      <w:r>
        <w:t>Veći rashodi za računalne usluge odnose se na izradu 3D i interaktivnih modela za potreba provođenja EU projekta Best4.0 u ukupnom iznosu 61.500,00 eura, dok se ostali rashodi odnose na usluge održavanja programe za računovodstveno, knjižnično i uredsko poslovanje.</w:t>
      </w:r>
    </w:p>
    <w:p w14:paraId="188003D3" w14:textId="77777777" w:rsidR="00105561" w:rsidRDefault="00105561"/>
    <w:p w14:paraId="021F659C" w14:textId="77777777" w:rsidR="00105561" w:rsidRDefault="00000000">
      <w:pPr>
        <w:keepNext/>
        <w:spacing w:line="240" w:lineRule="auto"/>
        <w:jc w:val="center"/>
      </w:pPr>
      <w:r>
        <w:rPr>
          <w:sz w:val="28"/>
        </w:rPr>
        <w:lastRenderedPageBreak/>
        <w:t>Bilješka 24.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05561" w14:paraId="5F14846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989CEBE" w14:textId="77777777" w:rsidR="00105561"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6CD03EE" w14:textId="77777777" w:rsidR="00105561"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21C6EB6" w14:textId="77777777" w:rsidR="00105561"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7CFFB9D" w14:textId="77777777" w:rsidR="00105561"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0F46B28" w14:textId="77777777" w:rsidR="00105561"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BBF906D" w14:textId="77777777" w:rsidR="00105561" w:rsidRDefault="00000000">
            <w:pPr>
              <w:keepNext/>
              <w:keepLines/>
              <w:spacing w:after="0" w:line="240" w:lineRule="auto"/>
              <w:jc w:val="center"/>
            </w:pPr>
            <w:r>
              <w:rPr>
                <w:b/>
                <w:sz w:val="18"/>
              </w:rPr>
              <w:t>Indeks (%)</w:t>
            </w:r>
          </w:p>
        </w:tc>
      </w:tr>
      <w:tr w:rsidR="00105561" w14:paraId="7BFCC684" w14:textId="77777777">
        <w:tblPrEx>
          <w:tblCellMar>
            <w:top w:w="0" w:type="dxa"/>
            <w:bottom w:w="0" w:type="dxa"/>
          </w:tblCellMar>
        </w:tblPrEx>
        <w:trPr>
          <w:cantSplit/>
          <w:trHeight w:val="560"/>
        </w:trPr>
        <w:tc>
          <w:tcPr>
            <w:tcW w:w="700" w:type="dxa"/>
            <w:tcMar>
              <w:top w:w="0" w:type="dxa"/>
              <w:bottom w:w="0" w:type="dxa"/>
            </w:tcMar>
            <w:vAlign w:val="center"/>
          </w:tcPr>
          <w:p w14:paraId="312774D3" w14:textId="77777777" w:rsidR="00105561" w:rsidRDefault="00000000">
            <w:pPr>
              <w:keepNext/>
              <w:keepLines/>
              <w:spacing w:after="0" w:line="240" w:lineRule="auto"/>
            </w:pPr>
            <w:r>
              <w:rPr>
                <w:sz w:val="18"/>
              </w:rPr>
              <w:t>3239</w:t>
            </w:r>
          </w:p>
        </w:tc>
        <w:tc>
          <w:tcPr>
            <w:tcW w:w="3180" w:type="dxa"/>
            <w:tcMar>
              <w:top w:w="0" w:type="dxa"/>
              <w:bottom w:w="0" w:type="dxa"/>
            </w:tcMar>
            <w:vAlign w:val="center"/>
          </w:tcPr>
          <w:p w14:paraId="51B99898" w14:textId="77777777" w:rsidR="00105561" w:rsidRDefault="00000000">
            <w:pPr>
              <w:keepNext/>
              <w:keepLines/>
              <w:spacing w:after="0" w:line="240" w:lineRule="auto"/>
            </w:pPr>
            <w:r>
              <w:rPr>
                <w:sz w:val="18"/>
              </w:rPr>
              <w:t>Ostale usluge</w:t>
            </w:r>
          </w:p>
        </w:tc>
        <w:tc>
          <w:tcPr>
            <w:tcW w:w="700" w:type="dxa"/>
            <w:tcMar>
              <w:top w:w="0" w:type="dxa"/>
              <w:bottom w:w="0" w:type="dxa"/>
            </w:tcMar>
            <w:vAlign w:val="center"/>
          </w:tcPr>
          <w:p w14:paraId="581FE62B" w14:textId="77777777" w:rsidR="00105561" w:rsidRDefault="00000000">
            <w:pPr>
              <w:keepNext/>
              <w:keepLines/>
              <w:spacing w:after="0" w:line="240" w:lineRule="auto"/>
            </w:pPr>
            <w:r>
              <w:rPr>
                <w:sz w:val="18"/>
              </w:rPr>
              <w:t>3239</w:t>
            </w:r>
          </w:p>
        </w:tc>
        <w:tc>
          <w:tcPr>
            <w:tcW w:w="1860" w:type="dxa"/>
            <w:tcMar>
              <w:top w:w="0" w:type="dxa"/>
              <w:bottom w:w="0" w:type="dxa"/>
            </w:tcMar>
            <w:vAlign w:val="center"/>
          </w:tcPr>
          <w:p w14:paraId="5ACDEF7D" w14:textId="77777777" w:rsidR="00105561" w:rsidRDefault="00000000">
            <w:pPr>
              <w:keepNext/>
              <w:keepLines/>
              <w:spacing w:after="0" w:line="240" w:lineRule="auto"/>
              <w:jc w:val="right"/>
            </w:pPr>
            <w:r>
              <w:rPr>
                <w:sz w:val="18"/>
              </w:rPr>
              <w:t>51.247,16</w:t>
            </w:r>
          </w:p>
        </w:tc>
        <w:tc>
          <w:tcPr>
            <w:tcW w:w="1860" w:type="dxa"/>
            <w:tcMar>
              <w:top w:w="0" w:type="dxa"/>
              <w:bottom w:w="0" w:type="dxa"/>
            </w:tcMar>
            <w:vAlign w:val="center"/>
          </w:tcPr>
          <w:p w14:paraId="29696F85" w14:textId="77777777" w:rsidR="00105561" w:rsidRDefault="00000000">
            <w:pPr>
              <w:keepNext/>
              <w:keepLines/>
              <w:spacing w:after="0" w:line="240" w:lineRule="auto"/>
              <w:jc w:val="right"/>
            </w:pPr>
            <w:r>
              <w:rPr>
                <w:sz w:val="18"/>
              </w:rPr>
              <w:t>21.503,02</w:t>
            </w:r>
          </w:p>
        </w:tc>
        <w:tc>
          <w:tcPr>
            <w:tcW w:w="700" w:type="dxa"/>
            <w:tcMar>
              <w:top w:w="0" w:type="dxa"/>
              <w:bottom w:w="0" w:type="dxa"/>
            </w:tcMar>
            <w:vAlign w:val="center"/>
          </w:tcPr>
          <w:p w14:paraId="4CE80460" w14:textId="77777777" w:rsidR="00105561" w:rsidRDefault="00000000">
            <w:pPr>
              <w:keepNext/>
              <w:keepLines/>
              <w:spacing w:after="0" w:line="240" w:lineRule="auto"/>
              <w:jc w:val="right"/>
            </w:pPr>
            <w:r>
              <w:rPr>
                <w:sz w:val="18"/>
              </w:rPr>
              <w:t>42,0</w:t>
            </w:r>
          </w:p>
        </w:tc>
      </w:tr>
    </w:tbl>
    <w:p w14:paraId="2B58A885" w14:textId="77777777" w:rsidR="00105561" w:rsidRDefault="00105561">
      <w:pPr>
        <w:spacing w:after="0"/>
      </w:pPr>
    </w:p>
    <w:p w14:paraId="0345C5D2" w14:textId="77777777" w:rsidR="00105561" w:rsidRDefault="00000000">
      <w:pPr>
        <w:jc w:val="both"/>
      </w:pPr>
      <w:r>
        <w:t>Ostale usluge manje su za 58,00 %  jer je u prethodnom izvještajnom razdoblju  povećani rashodi za  grafičke i tiskarske usluge povodom obilježavanja 75. godina Fakulteta.  </w:t>
      </w:r>
    </w:p>
    <w:p w14:paraId="26C2B20D" w14:textId="77777777" w:rsidR="00105561" w:rsidRDefault="00105561"/>
    <w:p w14:paraId="16356F60" w14:textId="77777777" w:rsidR="00105561" w:rsidRDefault="00000000">
      <w:pPr>
        <w:keepNext/>
        <w:spacing w:line="240" w:lineRule="auto"/>
        <w:jc w:val="center"/>
      </w:pPr>
      <w:r>
        <w:rPr>
          <w:sz w:val="28"/>
        </w:rPr>
        <w:t>Bilješka 25.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05561" w14:paraId="77EAEE0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AFE6768" w14:textId="77777777" w:rsidR="00105561"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CD1B6BB" w14:textId="77777777" w:rsidR="00105561"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45BF562" w14:textId="77777777" w:rsidR="00105561"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6E17516" w14:textId="77777777" w:rsidR="00105561"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255A795" w14:textId="77777777" w:rsidR="00105561"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B0AC9C2" w14:textId="77777777" w:rsidR="00105561" w:rsidRDefault="00000000">
            <w:pPr>
              <w:keepNext/>
              <w:keepLines/>
              <w:spacing w:after="0" w:line="240" w:lineRule="auto"/>
              <w:jc w:val="center"/>
            </w:pPr>
            <w:r>
              <w:rPr>
                <w:b/>
                <w:sz w:val="18"/>
              </w:rPr>
              <w:t>Indeks (%)</w:t>
            </w:r>
          </w:p>
        </w:tc>
      </w:tr>
      <w:tr w:rsidR="00105561" w14:paraId="7C48C53E" w14:textId="77777777">
        <w:tblPrEx>
          <w:tblCellMar>
            <w:top w:w="0" w:type="dxa"/>
            <w:bottom w:w="0" w:type="dxa"/>
          </w:tblCellMar>
        </w:tblPrEx>
        <w:trPr>
          <w:cantSplit/>
          <w:trHeight w:val="560"/>
        </w:trPr>
        <w:tc>
          <w:tcPr>
            <w:tcW w:w="700" w:type="dxa"/>
            <w:tcMar>
              <w:top w:w="0" w:type="dxa"/>
              <w:bottom w:w="0" w:type="dxa"/>
            </w:tcMar>
            <w:vAlign w:val="center"/>
          </w:tcPr>
          <w:p w14:paraId="0ABA07CB" w14:textId="77777777" w:rsidR="00105561" w:rsidRDefault="00000000">
            <w:pPr>
              <w:keepNext/>
              <w:keepLines/>
              <w:spacing w:after="0" w:line="240" w:lineRule="auto"/>
            </w:pPr>
            <w:r>
              <w:rPr>
                <w:sz w:val="18"/>
              </w:rPr>
              <w:t>324</w:t>
            </w:r>
          </w:p>
        </w:tc>
        <w:tc>
          <w:tcPr>
            <w:tcW w:w="3180" w:type="dxa"/>
            <w:tcMar>
              <w:top w:w="0" w:type="dxa"/>
              <w:bottom w:w="0" w:type="dxa"/>
            </w:tcMar>
            <w:vAlign w:val="center"/>
          </w:tcPr>
          <w:p w14:paraId="1DC99F6F" w14:textId="77777777" w:rsidR="00105561" w:rsidRDefault="00000000">
            <w:pPr>
              <w:keepNext/>
              <w:keepLines/>
              <w:spacing w:after="0" w:line="240" w:lineRule="auto"/>
            </w:pPr>
            <w:r>
              <w:rPr>
                <w:sz w:val="18"/>
              </w:rPr>
              <w:t>Naknade troškova osobama izvan radnog odnosa</w:t>
            </w:r>
          </w:p>
        </w:tc>
        <w:tc>
          <w:tcPr>
            <w:tcW w:w="700" w:type="dxa"/>
            <w:tcMar>
              <w:top w:w="0" w:type="dxa"/>
              <w:bottom w:w="0" w:type="dxa"/>
            </w:tcMar>
            <w:vAlign w:val="center"/>
          </w:tcPr>
          <w:p w14:paraId="5AF63100" w14:textId="77777777" w:rsidR="00105561" w:rsidRDefault="00000000">
            <w:pPr>
              <w:keepNext/>
              <w:keepLines/>
              <w:spacing w:after="0" w:line="240" w:lineRule="auto"/>
            </w:pPr>
            <w:r>
              <w:rPr>
                <w:sz w:val="18"/>
              </w:rPr>
              <w:t>324</w:t>
            </w:r>
          </w:p>
        </w:tc>
        <w:tc>
          <w:tcPr>
            <w:tcW w:w="1860" w:type="dxa"/>
            <w:tcMar>
              <w:top w:w="0" w:type="dxa"/>
              <w:bottom w:w="0" w:type="dxa"/>
            </w:tcMar>
            <w:vAlign w:val="center"/>
          </w:tcPr>
          <w:p w14:paraId="31C2B860" w14:textId="77777777" w:rsidR="00105561" w:rsidRDefault="00000000">
            <w:pPr>
              <w:keepNext/>
              <w:keepLines/>
              <w:spacing w:after="0" w:line="240" w:lineRule="auto"/>
              <w:jc w:val="right"/>
            </w:pPr>
            <w:r>
              <w:rPr>
                <w:sz w:val="18"/>
              </w:rPr>
              <w:t>8.430,36</w:t>
            </w:r>
          </w:p>
        </w:tc>
        <w:tc>
          <w:tcPr>
            <w:tcW w:w="1860" w:type="dxa"/>
            <w:tcMar>
              <w:top w:w="0" w:type="dxa"/>
              <w:bottom w:w="0" w:type="dxa"/>
            </w:tcMar>
            <w:vAlign w:val="center"/>
          </w:tcPr>
          <w:p w14:paraId="1627F985" w14:textId="77777777" w:rsidR="00105561" w:rsidRDefault="00000000">
            <w:pPr>
              <w:keepNext/>
              <w:keepLines/>
              <w:spacing w:after="0" w:line="240" w:lineRule="auto"/>
              <w:jc w:val="right"/>
            </w:pPr>
            <w:r>
              <w:rPr>
                <w:sz w:val="18"/>
              </w:rPr>
              <w:t>15.149,34</w:t>
            </w:r>
          </w:p>
        </w:tc>
        <w:tc>
          <w:tcPr>
            <w:tcW w:w="700" w:type="dxa"/>
            <w:tcMar>
              <w:top w:w="0" w:type="dxa"/>
              <w:bottom w:w="0" w:type="dxa"/>
            </w:tcMar>
            <w:vAlign w:val="center"/>
          </w:tcPr>
          <w:p w14:paraId="169C111A" w14:textId="77777777" w:rsidR="00105561" w:rsidRDefault="00000000">
            <w:pPr>
              <w:keepNext/>
              <w:keepLines/>
              <w:spacing w:after="0" w:line="240" w:lineRule="auto"/>
              <w:jc w:val="right"/>
            </w:pPr>
            <w:r>
              <w:rPr>
                <w:sz w:val="18"/>
              </w:rPr>
              <w:t>179,7</w:t>
            </w:r>
          </w:p>
        </w:tc>
      </w:tr>
    </w:tbl>
    <w:p w14:paraId="0EC3E193" w14:textId="77777777" w:rsidR="00105561" w:rsidRDefault="00105561">
      <w:pPr>
        <w:spacing w:after="0"/>
      </w:pPr>
    </w:p>
    <w:p w14:paraId="0BB1763C" w14:textId="77777777" w:rsidR="00105561" w:rsidRDefault="00000000">
      <w:pPr>
        <w:jc w:val="both"/>
      </w:pPr>
      <w:r>
        <w:t>Naknade troškova osobama izvan radnog odnosa iznose 15.149,34 eura i veće su za 79,7%, a najvećim dijelom odnose se na financiranje smještaja i prijevoza studentima Fakulteta za sudjelovanje na STEM igrama u Istri.</w:t>
      </w:r>
    </w:p>
    <w:p w14:paraId="32118742" w14:textId="77777777" w:rsidR="00105561" w:rsidRDefault="00105561"/>
    <w:p w14:paraId="657EAFF0" w14:textId="77777777" w:rsidR="00105561" w:rsidRDefault="00000000">
      <w:pPr>
        <w:keepNext/>
        <w:spacing w:line="240" w:lineRule="auto"/>
        <w:jc w:val="center"/>
      </w:pPr>
      <w:r>
        <w:rPr>
          <w:sz w:val="28"/>
        </w:rPr>
        <w:t>Bilješka 26.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05561" w14:paraId="567AFA1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8307689" w14:textId="77777777" w:rsidR="00105561"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6403246" w14:textId="77777777" w:rsidR="00105561"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7D56C5D" w14:textId="77777777" w:rsidR="00105561"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1AB09D3" w14:textId="77777777" w:rsidR="00105561"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9A4958F" w14:textId="77777777" w:rsidR="00105561"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A0A4161" w14:textId="77777777" w:rsidR="00105561" w:rsidRDefault="00000000">
            <w:pPr>
              <w:keepNext/>
              <w:keepLines/>
              <w:spacing w:after="0" w:line="240" w:lineRule="auto"/>
              <w:jc w:val="center"/>
            </w:pPr>
            <w:r>
              <w:rPr>
                <w:b/>
                <w:sz w:val="18"/>
              </w:rPr>
              <w:t>Indeks (%)</w:t>
            </w:r>
          </w:p>
        </w:tc>
      </w:tr>
      <w:tr w:rsidR="00105561" w14:paraId="30275133" w14:textId="77777777">
        <w:tblPrEx>
          <w:tblCellMar>
            <w:top w:w="0" w:type="dxa"/>
            <w:bottom w:w="0" w:type="dxa"/>
          </w:tblCellMar>
        </w:tblPrEx>
        <w:trPr>
          <w:cantSplit/>
          <w:trHeight w:val="560"/>
        </w:trPr>
        <w:tc>
          <w:tcPr>
            <w:tcW w:w="700" w:type="dxa"/>
            <w:tcMar>
              <w:top w:w="0" w:type="dxa"/>
              <w:bottom w:w="0" w:type="dxa"/>
            </w:tcMar>
            <w:vAlign w:val="center"/>
          </w:tcPr>
          <w:p w14:paraId="46D8DB49" w14:textId="77777777" w:rsidR="00105561" w:rsidRDefault="00000000">
            <w:pPr>
              <w:keepNext/>
              <w:keepLines/>
              <w:spacing w:after="0" w:line="240" w:lineRule="auto"/>
            </w:pPr>
            <w:r>
              <w:rPr>
                <w:sz w:val="18"/>
              </w:rPr>
              <w:t>329</w:t>
            </w:r>
          </w:p>
        </w:tc>
        <w:tc>
          <w:tcPr>
            <w:tcW w:w="3180" w:type="dxa"/>
            <w:tcMar>
              <w:top w:w="0" w:type="dxa"/>
              <w:bottom w:w="0" w:type="dxa"/>
            </w:tcMar>
            <w:vAlign w:val="center"/>
          </w:tcPr>
          <w:p w14:paraId="08614954" w14:textId="77777777" w:rsidR="00105561" w:rsidRDefault="00000000">
            <w:pPr>
              <w:keepNext/>
              <w:keepLines/>
              <w:spacing w:after="0" w:line="240" w:lineRule="auto"/>
            </w:pPr>
            <w:r>
              <w:rPr>
                <w:sz w:val="18"/>
              </w:rPr>
              <w:t>Ostali nespomenuti rashodi poslovanja (šifre 3291 do 3299)</w:t>
            </w:r>
          </w:p>
        </w:tc>
        <w:tc>
          <w:tcPr>
            <w:tcW w:w="700" w:type="dxa"/>
            <w:tcMar>
              <w:top w:w="0" w:type="dxa"/>
              <w:bottom w:w="0" w:type="dxa"/>
            </w:tcMar>
            <w:vAlign w:val="center"/>
          </w:tcPr>
          <w:p w14:paraId="1746CBC6" w14:textId="77777777" w:rsidR="00105561" w:rsidRDefault="00000000">
            <w:pPr>
              <w:keepNext/>
              <w:keepLines/>
              <w:spacing w:after="0" w:line="240" w:lineRule="auto"/>
            </w:pPr>
            <w:r>
              <w:rPr>
                <w:sz w:val="18"/>
              </w:rPr>
              <w:t>329</w:t>
            </w:r>
          </w:p>
        </w:tc>
        <w:tc>
          <w:tcPr>
            <w:tcW w:w="1860" w:type="dxa"/>
            <w:tcMar>
              <w:top w:w="0" w:type="dxa"/>
              <w:bottom w:w="0" w:type="dxa"/>
            </w:tcMar>
            <w:vAlign w:val="center"/>
          </w:tcPr>
          <w:p w14:paraId="12041D82" w14:textId="77777777" w:rsidR="00105561" w:rsidRDefault="00000000">
            <w:pPr>
              <w:keepNext/>
              <w:keepLines/>
              <w:spacing w:after="0" w:line="240" w:lineRule="auto"/>
              <w:jc w:val="right"/>
            </w:pPr>
            <w:r>
              <w:rPr>
                <w:sz w:val="18"/>
              </w:rPr>
              <w:t>100.871,77</w:t>
            </w:r>
          </w:p>
        </w:tc>
        <w:tc>
          <w:tcPr>
            <w:tcW w:w="1860" w:type="dxa"/>
            <w:tcMar>
              <w:top w:w="0" w:type="dxa"/>
              <w:bottom w:w="0" w:type="dxa"/>
            </w:tcMar>
            <w:vAlign w:val="center"/>
          </w:tcPr>
          <w:p w14:paraId="42ECCF01" w14:textId="77777777" w:rsidR="00105561" w:rsidRDefault="00000000">
            <w:pPr>
              <w:keepNext/>
              <w:keepLines/>
              <w:spacing w:after="0" w:line="240" w:lineRule="auto"/>
              <w:jc w:val="right"/>
            </w:pPr>
            <w:r>
              <w:rPr>
                <w:sz w:val="18"/>
              </w:rPr>
              <w:t>56.326,08</w:t>
            </w:r>
          </w:p>
        </w:tc>
        <w:tc>
          <w:tcPr>
            <w:tcW w:w="700" w:type="dxa"/>
            <w:tcMar>
              <w:top w:w="0" w:type="dxa"/>
              <w:bottom w:w="0" w:type="dxa"/>
            </w:tcMar>
            <w:vAlign w:val="center"/>
          </w:tcPr>
          <w:p w14:paraId="11CE3DD8" w14:textId="77777777" w:rsidR="00105561" w:rsidRDefault="00000000">
            <w:pPr>
              <w:keepNext/>
              <w:keepLines/>
              <w:spacing w:after="0" w:line="240" w:lineRule="auto"/>
              <w:jc w:val="right"/>
            </w:pPr>
            <w:r>
              <w:rPr>
                <w:sz w:val="18"/>
              </w:rPr>
              <w:t>55,8</w:t>
            </w:r>
          </w:p>
        </w:tc>
      </w:tr>
    </w:tbl>
    <w:p w14:paraId="6F62E12C" w14:textId="77777777" w:rsidR="00105561" w:rsidRDefault="00105561">
      <w:pPr>
        <w:spacing w:after="0"/>
      </w:pPr>
    </w:p>
    <w:p w14:paraId="3F655869" w14:textId="77777777" w:rsidR="00105561" w:rsidRDefault="00000000">
      <w:r>
        <w:t> </w:t>
      </w:r>
    </w:p>
    <w:p w14:paraId="2DFD7EB3" w14:textId="77777777" w:rsidR="00105561" w:rsidRDefault="00000000">
      <w:r>
        <w:t>Ostali nespomenuti rashodi poslovanja izvršeni su u iznosu od 56.326,06 eura odnosno 44,2% manje u odnosu na prethodnu godinu.  Na smanjenje je najviše utjecalo smanjenje troškova reprezentacije u odnosu na prethodnu godinu kad se obilježavalo 75. godina Fakulteta. </w:t>
      </w:r>
    </w:p>
    <w:p w14:paraId="70F26899" w14:textId="77777777" w:rsidR="00105561" w:rsidRDefault="00000000">
      <w:pPr>
        <w:jc w:val="both"/>
      </w:pPr>
      <w:r>
        <w:t>Ostali nespomenuti rashodi poslovanja obuhvaćaju osiguranje studenata i polaznika tečajeva i programa izobrazbe. </w:t>
      </w:r>
    </w:p>
    <w:p w14:paraId="1EA3B20A" w14:textId="77777777" w:rsidR="00105561" w:rsidRDefault="00105561"/>
    <w:p w14:paraId="08F1F83C" w14:textId="77777777" w:rsidR="00105561" w:rsidRDefault="00000000">
      <w:pPr>
        <w:keepNext/>
        <w:spacing w:line="240" w:lineRule="auto"/>
        <w:jc w:val="center"/>
      </w:pPr>
      <w:r>
        <w:rPr>
          <w:sz w:val="28"/>
        </w:rPr>
        <w:t>Bilješka 27.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05561" w14:paraId="672D7AD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5CCDE07" w14:textId="77777777" w:rsidR="00105561"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F6E9047" w14:textId="77777777" w:rsidR="00105561"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FA1D68D" w14:textId="77777777" w:rsidR="00105561"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EB0A222" w14:textId="77777777" w:rsidR="00105561"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948D410" w14:textId="77777777" w:rsidR="00105561"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9FC17E5" w14:textId="77777777" w:rsidR="00105561" w:rsidRDefault="00000000">
            <w:pPr>
              <w:keepNext/>
              <w:keepLines/>
              <w:spacing w:after="0" w:line="240" w:lineRule="auto"/>
              <w:jc w:val="center"/>
            </w:pPr>
            <w:r>
              <w:rPr>
                <w:b/>
                <w:sz w:val="18"/>
              </w:rPr>
              <w:t>Indeks (%)</w:t>
            </w:r>
          </w:p>
        </w:tc>
      </w:tr>
      <w:tr w:rsidR="00105561" w14:paraId="7C354EB8" w14:textId="77777777">
        <w:tblPrEx>
          <w:tblCellMar>
            <w:top w:w="0" w:type="dxa"/>
            <w:bottom w:w="0" w:type="dxa"/>
          </w:tblCellMar>
        </w:tblPrEx>
        <w:trPr>
          <w:cantSplit/>
          <w:trHeight w:val="560"/>
        </w:trPr>
        <w:tc>
          <w:tcPr>
            <w:tcW w:w="700" w:type="dxa"/>
            <w:tcMar>
              <w:top w:w="0" w:type="dxa"/>
              <w:bottom w:w="0" w:type="dxa"/>
            </w:tcMar>
            <w:vAlign w:val="center"/>
          </w:tcPr>
          <w:p w14:paraId="56CF65D9" w14:textId="77777777" w:rsidR="00105561" w:rsidRDefault="00000000">
            <w:pPr>
              <w:keepNext/>
              <w:keepLines/>
              <w:spacing w:after="0" w:line="240" w:lineRule="auto"/>
            </w:pPr>
            <w:r>
              <w:rPr>
                <w:sz w:val="18"/>
              </w:rPr>
              <w:t>35</w:t>
            </w:r>
          </w:p>
        </w:tc>
        <w:tc>
          <w:tcPr>
            <w:tcW w:w="3180" w:type="dxa"/>
            <w:tcMar>
              <w:top w:w="0" w:type="dxa"/>
              <w:bottom w:w="0" w:type="dxa"/>
            </w:tcMar>
            <w:vAlign w:val="center"/>
          </w:tcPr>
          <w:p w14:paraId="6D830F72" w14:textId="77777777" w:rsidR="00105561" w:rsidRDefault="00000000">
            <w:pPr>
              <w:keepNext/>
              <w:keepLines/>
              <w:spacing w:after="0" w:line="240" w:lineRule="auto"/>
            </w:pPr>
            <w:r>
              <w:rPr>
                <w:sz w:val="18"/>
              </w:rPr>
              <w:t>Subvencije (šifre 351+352+353)</w:t>
            </w:r>
          </w:p>
        </w:tc>
        <w:tc>
          <w:tcPr>
            <w:tcW w:w="700" w:type="dxa"/>
            <w:tcMar>
              <w:top w:w="0" w:type="dxa"/>
              <w:bottom w:w="0" w:type="dxa"/>
            </w:tcMar>
            <w:vAlign w:val="center"/>
          </w:tcPr>
          <w:p w14:paraId="57F46B8B" w14:textId="77777777" w:rsidR="00105561" w:rsidRDefault="00000000">
            <w:pPr>
              <w:keepNext/>
              <w:keepLines/>
              <w:spacing w:after="0" w:line="240" w:lineRule="auto"/>
            </w:pPr>
            <w:r>
              <w:rPr>
                <w:sz w:val="18"/>
              </w:rPr>
              <w:t>35</w:t>
            </w:r>
          </w:p>
        </w:tc>
        <w:tc>
          <w:tcPr>
            <w:tcW w:w="1860" w:type="dxa"/>
            <w:tcMar>
              <w:top w:w="0" w:type="dxa"/>
              <w:bottom w:w="0" w:type="dxa"/>
            </w:tcMar>
            <w:vAlign w:val="center"/>
          </w:tcPr>
          <w:p w14:paraId="56CE9953" w14:textId="77777777" w:rsidR="00105561" w:rsidRDefault="00000000">
            <w:pPr>
              <w:keepNext/>
              <w:keepLines/>
              <w:spacing w:after="0" w:line="240" w:lineRule="auto"/>
              <w:jc w:val="right"/>
            </w:pPr>
            <w:r>
              <w:rPr>
                <w:sz w:val="18"/>
              </w:rPr>
              <w:t>114.914,31</w:t>
            </w:r>
          </w:p>
        </w:tc>
        <w:tc>
          <w:tcPr>
            <w:tcW w:w="1860" w:type="dxa"/>
            <w:tcMar>
              <w:top w:w="0" w:type="dxa"/>
              <w:bottom w:w="0" w:type="dxa"/>
            </w:tcMar>
            <w:vAlign w:val="center"/>
          </w:tcPr>
          <w:p w14:paraId="4EDCD939" w14:textId="77777777" w:rsidR="00105561" w:rsidRDefault="00000000">
            <w:pPr>
              <w:keepNext/>
              <w:keepLines/>
              <w:spacing w:after="0" w:line="240" w:lineRule="auto"/>
              <w:jc w:val="right"/>
            </w:pPr>
            <w:r>
              <w:rPr>
                <w:sz w:val="18"/>
              </w:rPr>
              <w:t>441.461,51</w:t>
            </w:r>
          </w:p>
        </w:tc>
        <w:tc>
          <w:tcPr>
            <w:tcW w:w="700" w:type="dxa"/>
            <w:tcMar>
              <w:top w:w="0" w:type="dxa"/>
              <w:bottom w:w="0" w:type="dxa"/>
            </w:tcMar>
            <w:vAlign w:val="center"/>
          </w:tcPr>
          <w:p w14:paraId="098631E8" w14:textId="77777777" w:rsidR="00105561" w:rsidRDefault="00000000">
            <w:pPr>
              <w:keepNext/>
              <w:keepLines/>
              <w:spacing w:after="0" w:line="240" w:lineRule="auto"/>
              <w:jc w:val="right"/>
            </w:pPr>
            <w:r>
              <w:rPr>
                <w:sz w:val="18"/>
              </w:rPr>
              <w:t>384,2</w:t>
            </w:r>
          </w:p>
        </w:tc>
      </w:tr>
    </w:tbl>
    <w:p w14:paraId="2419E6F3" w14:textId="77777777" w:rsidR="00105561" w:rsidRDefault="00105561">
      <w:pPr>
        <w:spacing w:after="0"/>
      </w:pPr>
    </w:p>
    <w:p w14:paraId="10BDC6BB" w14:textId="77777777" w:rsidR="00105561" w:rsidRDefault="00000000">
      <w:pPr>
        <w:jc w:val="both"/>
      </w:pPr>
      <w:r>
        <w:lastRenderedPageBreak/>
        <w:t>Subvencije u iznosu od 441.461,51 eura odnose se na doznaku sredstava inozemnim trgovačkim društvima, partnerima na EU projektu Interreg TransH2. </w:t>
      </w:r>
    </w:p>
    <w:p w14:paraId="5B7DAE3A" w14:textId="77777777" w:rsidR="00105561" w:rsidRDefault="00105561"/>
    <w:p w14:paraId="7F91CD0B" w14:textId="77777777" w:rsidR="00105561" w:rsidRDefault="00000000">
      <w:pPr>
        <w:keepNext/>
        <w:spacing w:line="240" w:lineRule="auto"/>
        <w:jc w:val="center"/>
      </w:pPr>
      <w:r>
        <w:rPr>
          <w:sz w:val="28"/>
        </w:rPr>
        <w:t>Bilješka 28.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05561" w14:paraId="10D8551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774275E" w14:textId="77777777" w:rsidR="00105561"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E170B1A" w14:textId="77777777" w:rsidR="00105561"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511C900" w14:textId="77777777" w:rsidR="00105561"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658D5B4" w14:textId="77777777" w:rsidR="00105561"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90AFF8F" w14:textId="77777777" w:rsidR="00105561"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5FAC805" w14:textId="77777777" w:rsidR="00105561" w:rsidRDefault="00000000">
            <w:pPr>
              <w:keepNext/>
              <w:keepLines/>
              <w:spacing w:after="0" w:line="240" w:lineRule="auto"/>
              <w:jc w:val="center"/>
            </w:pPr>
            <w:r>
              <w:rPr>
                <w:b/>
                <w:sz w:val="18"/>
              </w:rPr>
              <w:t>Indeks (%)</w:t>
            </w:r>
          </w:p>
        </w:tc>
      </w:tr>
      <w:tr w:rsidR="00105561" w14:paraId="01592F0E" w14:textId="77777777">
        <w:tblPrEx>
          <w:tblCellMar>
            <w:top w:w="0" w:type="dxa"/>
            <w:bottom w:w="0" w:type="dxa"/>
          </w:tblCellMar>
        </w:tblPrEx>
        <w:trPr>
          <w:cantSplit/>
          <w:trHeight w:val="560"/>
        </w:trPr>
        <w:tc>
          <w:tcPr>
            <w:tcW w:w="700" w:type="dxa"/>
            <w:tcMar>
              <w:top w:w="0" w:type="dxa"/>
              <w:bottom w:w="0" w:type="dxa"/>
            </w:tcMar>
            <w:vAlign w:val="center"/>
          </w:tcPr>
          <w:p w14:paraId="56441A35" w14:textId="77777777" w:rsidR="00105561" w:rsidRDefault="00000000">
            <w:pPr>
              <w:keepNext/>
              <w:keepLines/>
              <w:spacing w:after="0" w:line="240" w:lineRule="auto"/>
            </w:pPr>
            <w:r>
              <w:rPr>
                <w:sz w:val="18"/>
              </w:rPr>
              <w:t>3611</w:t>
            </w:r>
          </w:p>
        </w:tc>
        <w:tc>
          <w:tcPr>
            <w:tcW w:w="3180" w:type="dxa"/>
            <w:tcMar>
              <w:top w:w="0" w:type="dxa"/>
              <w:bottom w:w="0" w:type="dxa"/>
            </w:tcMar>
            <w:vAlign w:val="center"/>
          </w:tcPr>
          <w:p w14:paraId="0DAE4377" w14:textId="77777777" w:rsidR="00105561" w:rsidRDefault="00000000">
            <w:pPr>
              <w:keepNext/>
              <w:keepLines/>
              <w:spacing w:after="0" w:line="240" w:lineRule="auto"/>
            </w:pPr>
            <w:r>
              <w:rPr>
                <w:sz w:val="18"/>
              </w:rPr>
              <w:t>Tekuće pomoći inozemnim vladama</w:t>
            </w:r>
          </w:p>
        </w:tc>
        <w:tc>
          <w:tcPr>
            <w:tcW w:w="700" w:type="dxa"/>
            <w:tcMar>
              <w:top w:w="0" w:type="dxa"/>
              <w:bottom w:w="0" w:type="dxa"/>
            </w:tcMar>
            <w:vAlign w:val="center"/>
          </w:tcPr>
          <w:p w14:paraId="715EE865" w14:textId="77777777" w:rsidR="00105561" w:rsidRDefault="00000000">
            <w:pPr>
              <w:keepNext/>
              <w:keepLines/>
              <w:spacing w:after="0" w:line="240" w:lineRule="auto"/>
            </w:pPr>
            <w:r>
              <w:rPr>
                <w:sz w:val="18"/>
              </w:rPr>
              <w:t>3611</w:t>
            </w:r>
          </w:p>
        </w:tc>
        <w:tc>
          <w:tcPr>
            <w:tcW w:w="1860" w:type="dxa"/>
            <w:tcMar>
              <w:top w:w="0" w:type="dxa"/>
              <w:bottom w:w="0" w:type="dxa"/>
            </w:tcMar>
            <w:vAlign w:val="center"/>
          </w:tcPr>
          <w:p w14:paraId="6106656C" w14:textId="77777777" w:rsidR="00105561" w:rsidRDefault="00000000">
            <w:pPr>
              <w:keepNext/>
              <w:keepLines/>
              <w:spacing w:after="0" w:line="240" w:lineRule="auto"/>
              <w:jc w:val="right"/>
            </w:pPr>
            <w:r>
              <w:rPr>
                <w:sz w:val="18"/>
              </w:rPr>
              <w:t>29.015,22</w:t>
            </w:r>
          </w:p>
        </w:tc>
        <w:tc>
          <w:tcPr>
            <w:tcW w:w="1860" w:type="dxa"/>
            <w:tcMar>
              <w:top w:w="0" w:type="dxa"/>
              <w:bottom w:w="0" w:type="dxa"/>
            </w:tcMar>
            <w:vAlign w:val="center"/>
          </w:tcPr>
          <w:p w14:paraId="4D6DCE74" w14:textId="77777777" w:rsidR="00105561" w:rsidRDefault="00000000">
            <w:pPr>
              <w:keepNext/>
              <w:keepLines/>
              <w:spacing w:after="0" w:line="240" w:lineRule="auto"/>
              <w:jc w:val="right"/>
            </w:pPr>
            <w:r>
              <w:rPr>
                <w:sz w:val="18"/>
              </w:rPr>
              <w:t>66.939,65</w:t>
            </w:r>
          </w:p>
        </w:tc>
        <w:tc>
          <w:tcPr>
            <w:tcW w:w="700" w:type="dxa"/>
            <w:tcMar>
              <w:top w:w="0" w:type="dxa"/>
              <w:bottom w:w="0" w:type="dxa"/>
            </w:tcMar>
            <w:vAlign w:val="center"/>
          </w:tcPr>
          <w:p w14:paraId="08961967" w14:textId="77777777" w:rsidR="00105561" w:rsidRDefault="00000000">
            <w:pPr>
              <w:keepNext/>
              <w:keepLines/>
              <w:spacing w:after="0" w:line="240" w:lineRule="auto"/>
              <w:jc w:val="right"/>
            </w:pPr>
            <w:r>
              <w:rPr>
                <w:sz w:val="18"/>
              </w:rPr>
              <w:t>230,7</w:t>
            </w:r>
          </w:p>
        </w:tc>
      </w:tr>
    </w:tbl>
    <w:p w14:paraId="556EED1F" w14:textId="77777777" w:rsidR="00105561" w:rsidRDefault="00105561">
      <w:pPr>
        <w:spacing w:after="0"/>
      </w:pPr>
    </w:p>
    <w:p w14:paraId="1B8BB194" w14:textId="77777777" w:rsidR="00105561" w:rsidRDefault="00000000">
      <w:pPr>
        <w:jc w:val="both"/>
      </w:pPr>
      <w:r>
        <w:t>Pomoći dane u inozemstvo i unutar općeg proračuna sastoje se od tekuće pomoći inozemnim vladama odnosno Univerzitetu u Trstu kao partneru na EU Interreg projektu TransH2.</w:t>
      </w:r>
    </w:p>
    <w:p w14:paraId="59284E9C" w14:textId="77777777" w:rsidR="00105561" w:rsidRDefault="00105561"/>
    <w:p w14:paraId="7A5C9A53" w14:textId="77777777" w:rsidR="00105561" w:rsidRDefault="00000000">
      <w:pPr>
        <w:keepNext/>
        <w:spacing w:line="240" w:lineRule="auto"/>
        <w:jc w:val="center"/>
      </w:pPr>
      <w:r>
        <w:rPr>
          <w:sz w:val="28"/>
        </w:rPr>
        <w:t>Bilješka 29.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05561" w14:paraId="50529EE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D995252" w14:textId="77777777" w:rsidR="00105561"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DF7EA7C" w14:textId="77777777" w:rsidR="00105561"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AEB5097" w14:textId="77777777" w:rsidR="00105561"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07F9DE1" w14:textId="77777777" w:rsidR="00105561"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AD87F4E" w14:textId="77777777" w:rsidR="00105561"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E98A083" w14:textId="77777777" w:rsidR="00105561" w:rsidRDefault="00000000">
            <w:pPr>
              <w:keepNext/>
              <w:keepLines/>
              <w:spacing w:after="0" w:line="240" w:lineRule="auto"/>
              <w:jc w:val="center"/>
            </w:pPr>
            <w:r>
              <w:rPr>
                <w:b/>
                <w:sz w:val="18"/>
              </w:rPr>
              <w:t>Indeks (%)</w:t>
            </w:r>
          </w:p>
        </w:tc>
      </w:tr>
      <w:tr w:rsidR="00105561" w14:paraId="407EF1F8" w14:textId="77777777">
        <w:tblPrEx>
          <w:tblCellMar>
            <w:top w:w="0" w:type="dxa"/>
            <w:bottom w:w="0" w:type="dxa"/>
          </w:tblCellMar>
        </w:tblPrEx>
        <w:trPr>
          <w:cantSplit/>
          <w:trHeight w:val="560"/>
        </w:trPr>
        <w:tc>
          <w:tcPr>
            <w:tcW w:w="700" w:type="dxa"/>
            <w:tcMar>
              <w:top w:w="0" w:type="dxa"/>
              <w:bottom w:w="0" w:type="dxa"/>
            </w:tcMar>
            <w:vAlign w:val="center"/>
          </w:tcPr>
          <w:p w14:paraId="0CA5D6B0" w14:textId="77777777" w:rsidR="00105561" w:rsidRDefault="00000000">
            <w:pPr>
              <w:keepNext/>
              <w:keepLines/>
              <w:spacing w:after="0" w:line="240" w:lineRule="auto"/>
            </w:pPr>
            <w:r>
              <w:rPr>
                <w:sz w:val="18"/>
              </w:rPr>
              <w:t>3681</w:t>
            </w:r>
          </w:p>
        </w:tc>
        <w:tc>
          <w:tcPr>
            <w:tcW w:w="3180" w:type="dxa"/>
            <w:tcMar>
              <w:top w:w="0" w:type="dxa"/>
              <w:bottom w:w="0" w:type="dxa"/>
            </w:tcMar>
            <w:vAlign w:val="center"/>
          </w:tcPr>
          <w:p w14:paraId="5129D336" w14:textId="77777777" w:rsidR="00105561" w:rsidRDefault="00000000">
            <w:pPr>
              <w:keepNext/>
              <w:keepLines/>
              <w:spacing w:after="0" w:line="240" w:lineRule="auto"/>
            </w:pPr>
            <w:r>
              <w:rPr>
                <w:sz w:val="18"/>
              </w:rPr>
              <w:t>Tekuće pomoći temeljem prijenosa EU sredstava</w:t>
            </w:r>
          </w:p>
        </w:tc>
        <w:tc>
          <w:tcPr>
            <w:tcW w:w="700" w:type="dxa"/>
            <w:tcMar>
              <w:top w:w="0" w:type="dxa"/>
              <w:bottom w:w="0" w:type="dxa"/>
            </w:tcMar>
            <w:vAlign w:val="center"/>
          </w:tcPr>
          <w:p w14:paraId="4C989E13" w14:textId="77777777" w:rsidR="00105561" w:rsidRDefault="00000000">
            <w:pPr>
              <w:keepNext/>
              <w:keepLines/>
              <w:spacing w:after="0" w:line="240" w:lineRule="auto"/>
            </w:pPr>
            <w:r>
              <w:rPr>
                <w:sz w:val="18"/>
              </w:rPr>
              <w:t>3681</w:t>
            </w:r>
          </w:p>
        </w:tc>
        <w:tc>
          <w:tcPr>
            <w:tcW w:w="1860" w:type="dxa"/>
            <w:tcMar>
              <w:top w:w="0" w:type="dxa"/>
              <w:bottom w:w="0" w:type="dxa"/>
            </w:tcMar>
            <w:vAlign w:val="center"/>
          </w:tcPr>
          <w:p w14:paraId="15F5287B" w14:textId="77777777" w:rsidR="00105561" w:rsidRDefault="00000000">
            <w:pPr>
              <w:keepNext/>
              <w:keepLines/>
              <w:spacing w:after="0" w:line="240" w:lineRule="auto"/>
              <w:jc w:val="right"/>
            </w:pPr>
            <w:r>
              <w:rPr>
                <w:sz w:val="18"/>
              </w:rPr>
              <w:t>11.495,86</w:t>
            </w:r>
          </w:p>
        </w:tc>
        <w:tc>
          <w:tcPr>
            <w:tcW w:w="1860" w:type="dxa"/>
            <w:tcMar>
              <w:top w:w="0" w:type="dxa"/>
              <w:bottom w:w="0" w:type="dxa"/>
            </w:tcMar>
            <w:vAlign w:val="center"/>
          </w:tcPr>
          <w:p w14:paraId="791EA789" w14:textId="77777777" w:rsidR="00105561" w:rsidRDefault="00000000">
            <w:pPr>
              <w:keepNext/>
              <w:keepLines/>
              <w:spacing w:after="0" w:line="240" w:lineRule="auto"/>
              <w:jc w:val="right"/>
            </w:pPr>
            <w:r>
              <w:rPr>
                <w:sz w:val="18"/>
              </w:rPr>
              <w:t>41.905,65</w:t>
            </w:r>
          </w:p>
        </w:tc>
        <w:tc>
          <w:tcPr>
            <w:tcW w:w="700" w:type="dxa"/>
            <w:tcMar>
              <w:top w:w="0" w:type="dxa"/>
              <w:bottom w:w="0" w:type="dxa"/>
            </w:tcMar>
            <w:vAlign w:val="center"/>
          </w:tcPr>
          <w:p w14:paraId="280E1D18" w14:textId="77777777" w:rsidR="00105561" w:rsidRDefault="00000000">
            <w:pPr>
              <w:keepNext/>
              <w:keepLines/>
              <w:spacing w:after="0" w:line="240" w:lineRule="auto"/>
              <w:jc w:val="right"/>
            </w:pPr>
            <w:r>
              <w:rPr>
                <w:sz w:val="18"/>
              </w:rPr>
              <w:t>364,5</w:t>
            </w:r>
          </w:p>
        </w:tc>
      </w:tr>
    </w:tbl>
    <w:p w14:paraId="61157F2C" w14:textId="77777777" w:rsidR="00105561" w:rsidRDefault="00105561">
      <w:pPr>
        <w:spacing w:after="0"/>
      </w:pPr>
    </w:p>
    <w:p w14:paraId="10BCB126" w14:textId="77777777" w:rsidR="00105561" w:rsidRDefault="00000000">
      <w:pPr>
        <w:jc w:val="both"/>
      </w:pPr>
      <w:r>
        <w:t>Tekuće pomoći temeljem prijenosa EU sredstava odnosi se na prijenos sredstava partneru Razvojnoj agenciji Zadar, u sklopu projekta TransH2. </w:t>
      </w:r>
    </w:p>
    <w:p w14:paraId="31E4C371" w14:textId="77777777" w:rsidR="00105561" w:rsidRDefault="00105561"/>
    <w:p w14:paraId="302A8837" w14:textId="77777777" w:rsidR="00105561" w:rsidRDefault="00000000">
      <w:pPr>
        <w:keepNext/>
        <w:spacing w:line="240" w:lineRule="auto"/>
        <w:jc w:val="center"/>
      </w:pPr>
      <w:r>
        <w:rPr>
          <w:sz w:val="28"/>
        </w:rPr>
        <w:t>Bilješka 30.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05561" w14:paraId="31B39D7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AB8685D" w14:textId="77777777" w:rsidR="00105561"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F88B571" w14:textId="77777777" w:rsidR="00105561"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AA57AFA" w14:textId="77777777" w:rsidR="00105561"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96BBB3D" w14:textId="77777777" w:rsidR="00105561"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4FAD4B8" w14:textId="77777777" w:rsidR="00105561"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5BF9493" w14:textId="77777777" w:rsidR="00105561" w:rsidRDefault="00000000">
            <w:pPr>
              <w:keepNext/>
              <w:keepLines/>
              <w:spacing w:after="0" w:line="240" w:lineRule="auto"/>
              <w:jc w:val="center"/>
            </w:pPr>
            <w:r>
              <w:rPr>
                <w:b/>
                <w:sz w:val="18"/>
              </w:rPr>
              <w:t>Indeks (%)</w:t>
            </w:r>
          </w:p>
        </w:tc>
      </w:tr>
      <w:tr w:rsidR="00105561" w14:paraId="5A930787" w14:textId="77777777">
        <w:tblPrEx>
          <w:tblCellMar>
            <w:top w:w="0" w:type="dxa"/>
            <w:bottom w:w="0" w:type="dxa"/>
          </w:tblCellMar>
        </w:tblPrEx>
        <w:trPr>
          <w:cantSplit/>
          <w:trHeight w:val="560"/>
        </w:trPr>
        <w:tc>
          <w:tcPr>
            <w:tcW w:w="700" w:type="dxa"/>
            <w:tcMar>
              <w:top w:w="0" w:type="dxa"/>
              <w:bottom w:w="0" w:type="dxa"/>
            </w:tcMar>
            <w:vAlign w:val="center"/>
          </w:tcPr>
          <w:p w14:paraId="52AC1AA5" w14:textId="77777777" w:rsidR="00105561" w:rsidRDefault="00000000">
            <w:pPr>
              <w:keepNext/>
              <w:keepLines/>
              <w:spacing w:after="0" w:line="240" w:lineRule="auto"/>
            </w:pPr>
            <w:r>
              <w:rPr>
                <w:sz w:val="18"/>
              </w:rPr>
              <w:t>3691</w:t>
            </w:r>
          </w:p>
        </w:tc>
        <w:tc>
          <w:tcPr>
            <w:tcW w:w="3180" w:type="dxa"/>
            <w:tcMar>
              <w:top w:w="0" w:type="dxa"/>
              <w:bottom w:w="0" w:type="dxa"/>
            </w:tcMar>
            <w:vAlign w:val="center"/>
          </w:tcPr>
          <w:p w14:paraId="2F870BED" w14:textId="77777777" w:rsidR="00105561" w:rsidRDefault="00000000">
            <w:pPr>
              <w:keepNext/>
              <w:keepLines/>
              <w:spacing w:after="0" w:line="240" w:lineRule="auto"/>
            </w:pPr>
            <w:r>
              <w:rPr>
                <w:sz w:val="18"/>
              </w:rPr>
              <w:t>Tekući prijenosi između proračunskih korisnika istog proračuna</w:t>
            </w:r>
          </w:p>
        </w:tc>
        <w:tc>
          <w:tcPr>
            <w:tcW w:w="700" w:type="dxa"/>
            <w:tcMar>
              <w:top w:w="0" w:type="dxa"/>
              <w:bottom w:w="0" w:type="dxa"/>
            </w:tcMar>
            <w:vAlign w:val="center"/>
          </w:tcPr>
          <w:p w14:paraId="6AE150B9" w14:textId="77777777" w:rsidR="00105561" w:rsidRDefault="00000000">
            <w:pPr>
              <w:keepNext/>
              <w:keepLines/>
              <w:spacing w:after="0" w:line="240" w:lineRule="auto"/>
            </w:pPr>
            <w:r>
              <w:rPr>
                <w:sz w:val="18"/>
              </w:rPr>
              <w:t>3691</w:t>
            </w:r>
          </w:p>
        </w:tc>
        <w:tc>
          <w:tcPr>
            <w:tcW w:w="1860" w:type="dxa"/>
            <w:tcMar>
              <w:top w:w="0" w:type="dxa"/>
              <w:bottom w:w="0" w:type="dxa"/>
            </w:tcMar>
            <w:vAlign w:val="center"/>
          </w:tcPr>
          <w:p w14:paraId="60E2A9F0" w14:textId="77777777" w:rsidR="00105561" w:rsidRDefault="00000000">
            <w:pPr>
              <w:keepNext/>
              <w:keepLines/>
              <w:spacing w:after="0" w:line="240" w:lineRule="auto"/>
              <w:jc w:val="right"/>
            </w:pPr>
            <w:r>
              <w:rPr>
                <w:sz w:val="18"/>
              </w:rPr>
              <w:t>57.693,74</w:t>
            </w:r>
          </w:p>
        </w:tc>
        <w:tc>
          <w:tcPr>
            <w:tcW w:w="1860" w:type="dxa"/>
            <w:tcMar>
              <w:top w:w="0" w:type="dxa"/>
              <w:bottom w:w="0" w:type="dxa"/>
            </w:tcMar>
            <w:vAlign w:val="center"/>
          </w:tcPr>
          <w:p w14:paraId="729E4935" w14:textId="77777777" w:rsidR="00105561" w:rsidRDefault="00000000">
            <w:pPr>
              <w:keepNext/>
              <w:keepLines/>
              <w:spacing w:after="0" w:line="240" w:lineRule="auto"/>
              <w:jc w:val="right"/>
            </w:pPr>
            <w:r>
              <w:rPr>
                <w:sz w:val="18"/>
              </w:rPr>
              <w:t>47.066,73</w:t>
            </w:r>
          </w:p>
        </w:tc>
        <w:tc>
          <w:tcPr>
            <w:tcW w:w="700" w:type="dxa"/>
            <w:tcMar>
              <w:top w:w="0" w:type="dxa"/>
              <w:bottom w:w="0" w:type="dxa"/>
            </w:tcMar>
            <w:vAlign w:val="center"/>
          </w:tcPr>
          <w:p w14:paraId="3D6B5B1C" w14:textId="77777777" w:rsidR="00105561" w:rsidRDefault="00000000">
            <w:pPr>
              <w:keepNext/>
              <w:keepLines/>
              <w:spacing w:after="0" w:line="240" w:lineRule="auto"/>
              <w:jc w:val="right"/>
            </w:pPr>
            <w:r>
              <w:rPr>
                <w:sz w:val="18"/>
              </w:rPr>
              <w:t>81,6</w:t>
            </w:r>
          </w:p>
        </w:tc>
      </w:tr>
    </w:tbl>
    <w:p w14:paraId="5594B563" w14:textId="77777777" w:rsidR="00105561" w:rsidRDefault="00105561">
      <w:pPr>
        <w:spacing w:after="0"/>
      </w:pPr>
    </w:p>
    <w:p w14:paraId="44FF6DA8" w14:textId="77777777" w:rsidR="00105561" w:rsidRDefault="00000000">
      <w:pPr>
        <w:jc w:val="both"/>
      </w:pPr>
      <w:r>
        <w:t>Tekući prijenosi između proračunskih korisnika istog proračuna odnose se na prijenos sredstava Sveučilištu u Rijeci u visini 3%+1% naplaćenih prihoda od školarina i prihoda ostvarenih na tržištu u iznosu od 47.066,73 eura. Manji su jer u drugom i trećom kvartalu Sveučilište nije potraživalo 1% prihoda. </w:t>
      </w:r>
    </w:p>
    <w:p w14:paraId="161EA5F1" w14:textId="77777777" w:rsidR="00105561" w:rsidRDefault="00105561"/>
    <w:p w14:paraId="30D0D536" w14:textId="77777777" w:rsidR="00105561" w:rsidRDefault="00000000">
      <w:pPr>
        <w:keepNext/>
        <w:spacing w:line="240" w:lineRule="auto"/>
        <w:jc w:val="center"/>
      </w:pPr>
      <w:r>
        <w:rPr>
          <w:sz w:val="28"/>
        </w:rPr>
        <w:lastRenderedPageBreak/>
        <w:t>Bilješka 31.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05561" w14:paraId="6763975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690371B" w14:textId="77777777" w:rsidR="00105561"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59EF360" w14:textId="77777777" w:rsidR="00105561"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DEBB1A5" w14:textId="77777777" w:rsidR="00105561"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60AE5E1" w14:textId="77777777" w:rsidR="00105561"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B21A19B" w14:textId="77777777" w:rsidR="00105561"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441B258" w14:textId="77777777" w:rsidR="00105561" w:rsidRDefault="00000000">
            <w:pPr>
              <w:keepNext/>
              <w:keepLines/>
              <w:spacing w:after="0" w:line="240" w:lineRule="auto"/>
              <w:jc w:val="center"/>
            </w:pPr>
            <w:r>
              <w:rPr>
                <w:b/>
                <w:sz w:val="18"/>
              </w:rPr>
              <w:t>Indeks (%)</w:t>
            </w:r>
          </w:p>
        </w:tc>
      </w:tr>
      <w:tr w:rsidR="00105561" w14:paraId="4376F6FA" w14:textId="77777777">
        <w:tblPrEx>
          <w:tblCellMar>
            <w:top w:w="0" w:type="dxa"/>
            <w:bottom w:w="0" w:type="dxa"/>
          </w:tblCellMar>
        </w:tblPrEx>
        <w:trPr>
          <w:cantSplit/>
          <w:trHeight w:val="560"/>
        </w:trPr>
        <w:tc>
          <w:tcPr>
            <w:tcW w:w="700" w:type="dxa"/>
            <w:tcMar>
              <w:top w:w="0" w:type="dxa"/>
              <w:bottom w:w="0" w:type="dxa"/>
            </w:tcMar>
            <w:vAlign w:val="center"/>
          </w:tcPr>
          <w:p w14:paraId="72B18F03" w14:textId="77777777" w:rsidR="00105561" w:rsidRDefault="00000000">
            <w:pPr>
              <w:keepNext/>
              <w:keepLines/>
              <w:spacing w:after="0" w:line="240" w:lineRule="auto"/>
            </w:pPr>
            <w:r>
              <w:rPr>
                <w:sz w:val="18"/>
              </w:rPr>
              <w:t>37</w:t>
            </w:r>
          </w:p>
        </w:tc>
        <w:tc>
          <w:tcPr>
            <w:tcW w:w="3180" w:type="dxa"/>
            <w:tcMar>
              <w:top w:w="0" w:type="dxa"/>
              <w:bottom w:w="0" w:type="dxa"/>
            </w:tcMar>
            <w:vAlign w:val="center"/>
          </w:tcPr>
          <w:p w14:paraId="20C85EF4" w14:textId="77777777" w:rsidR="00105561" w:rsidRDefault="00000000">
            <w:pPr>
              <w:keepNext/>
              <w:keepLines/>
              <w:spacing w:after="0" w:line="240" w:lineRule="auto"/>
            </w:pPr>
            <w:r>
              <w:rPr>
                <w:sz w:val="18"/>
              </w:rPr>
              <w:t>Naknade građanima i kućanstvima na temelju osiguranja i druge naknade (šifre 371+372)</w:t>
            </w:r>
          </w:p>
        </w:tc>
        <w:tc>
          <w:tcPr>
            <w:tcW w:w="700" w:type="dxa"/>
            <w:tcMar>
              <w:top w:w="0" w:type="dxa"/>
              <w:bottom w:w="0" w:type="dxa"/>
            </w:tcMar>
            <w:vAlign w:val="center"/>
          </w:tcPr>
          <w:p w14:paraId="41EF69AB" w14:textId="77777777" w:rsidR="00105561" w:rsidRDefault="00000000">
            <w:pPr>
              <w:keepNext/>
              <w:keepLines/>
              <w:spacing w:after="0" w:line="240" w:lineRule="auto"/>
            </w:pPr>
            <w:r>
              <w:rPr>
                <w:sz w:val="18"/>
              </w:rPr>
              <w:t>37</w:t>
            </w:r>
          </w:p>
        </w:tc>
        <w:tc>
          <w:tcPr>
            <w:tcW w:w="1860" w:type="dxa"/>
            <w:tcMar>
              <w:top w:w="0" w:type="dxa"/>
              <w:bottom w:w="0" w:type="dxa"/>
            </w:tcMar>
            <w:vAlign w:val="center"/>
          </w:tcPr>
          <w:p w14:paraId="18B59359" w14:textId="77777777" w:rsidR="00105561" w:rsidRDefault="00000000">
            <w:pPr>
              <w:keepNext/>
              <w:keepLines/>
              <w:spacing w:after="0" w:line="240" w:lineRule="auto"/>
              <w:jc w:val="right"/>
            </w:pPr>
            <w:r>
              <w:rPr>
                <w:sz w:val="18"/>
              </w:rPr>
              <w:t>4.571,93</w:t>
            </w:r>
          </w:p>
        </w:tc>
        <w:tc>
          <w:tcPr>
            <w:tcW w:w="1860" w:type="dxa"/>
            <w:tcMar>
              <w:top w:w="0" w:type="dxa"/>
              <w:bottom w:w="0" w:type="dxa"/>
            </w:tcMar>
            <w:vAlign w:val="center"/>
          </w:tcPr>
          <w:p w14:paraId="08E28917" w14:textId="77777777" w:rsidR="00105561" w:rsidRDefault="00000000">
            <w:pPr>
              <w:keepNext/>
              <w:keepLines/>
              <w:spacing w:after="0" w:line="240" w:lineRule="auto"/>
              <w:jc w:val="right"/>
            </w:pPr>
            <w:r>
              <w:rPr>
                <w:sz w:val="18"/>
              </w:rPr>
              <w:t>24.648,25</w:t>
            </w:r>
          </w:p>
        </w:tc>
        <w:tc>
          <w:tcPr>
            <w:tcW w:w="700" w:type="dxa"/>
            <w:tcMar>
              <w:top w:w="0" w:type="dxa"/>
              <w:bottom w:w="0" w:type="dxa"/>
            </w:tcMar>
            <w:vAlign w:val="center"/>
          </w:tcPr>
          <w:p w14:paraId="75B1DCF7" w14:textId="77777777" w:rsidR="00105561" w:rsidRDefault="00000000">
            <w:pPr>
              <w:keepNext/>
              <w:keepLines/>
              <w:spacing w:after="0" w:line="240" w:lineRule="auto"/>
              <w:jc w:val="right"/>
            </w:pPr>
            <w:r>
              <w:rPr>
                <w:sz w:val="18"/>
              </w:rPr>
              <w:t>539,1</w:t>
            </w:r>
          </w:p>
        </w:tc>
      </w:tr>
    </w:tbl>
    <w:p w14:paraId="45EDA96A" w14:textId="77777777" w:rsidR="00105561" w:rsidRDefault="00105561">
      <w:pPr>
        <w:spacing w:after="0"/>
      </w:pPr>
    </w:p>
    <w:p w14:paraId="4989241E" w14:textId="77777777" w:rsidR="00105561" w:rsidRDefault="00000000">
      <w:pPr>
        <w:jc w:val="both"/>
      </w:pPr>
      <w:r>
        <w:t>Naknade građanima i kućanstvima u novcu u iznosu od 24.648,25 eura odnose na plaćanje školarine doktorskog studija za dva zaposlenika Fakulteta, refundaciju troškova izrade doktorske disertacije zaposlenicima koji su stekli zvanje doktora znanosti koje financira MZOM, stipendiju doktorskog studija Pomorstvo koju financira IAMU i sredstva NPOO-a za međunarodnu mobilnost  koju je doznačila Hrvatska zaklada za znanost za asistenticu Fakulteta koja je na stručnom usavršavanju u Italiji.</w:t>
      </w:r>
    </w:p>
    <w:p w14:paraId="2D3B8038" w14:textId="77777777" w:rsidR="00105561" w:rsidRDefault="00105561"/>
    <w:p w14:paraId="5EB2BEB5" w14:textId="77777777" w:rsidR="00105561" w:rsidRDefault="00000000">
      <w:pPr>
        <w:keepNext/>
        <w:spacing w:line="240" w:lineRule="auto"/>
        <w:jc w:val="center"/>
      </w:pPr>
      <w:r>
        <w:rPr>
          <w:sz w:val="28"/>
        </w:rPr>
        <w:t>Bilješka 32.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05561" w14:paraId="768452F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A4B01D8" w14:textId="77777777" w:rsidR="00105561"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A927802" w14:textId="77777777" w:rsidR="00105561"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012DBF0" w14:textId="77777777" w:rsidR="00105561"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E8C5FBA" w14:textId="77777777" w:rsidR="00105561"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A413EBB" w14:textId="77777777" w:rsidR="00105561"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41075CF" w14:textId="77777777" w:rsidR="00105561" w:rsidRDefault="00000000">
            <w:pPr>
              <w:keepNext/>
              <w:keepLines/>
              <w:spacing w:after="0" w:line="240" w:lineRule="auto"/>
              <w:jc w:val="center"/>
            </w:pPr>
            <w:r>
              <w:rPr>
                <w:b/>
                <w:sz w:val="18"/>
              </w:rPr>
              <w:t>Indeks (%)</w:t>
            </w:r>
          </w:p>
        </w:tc>
      </w:tr>
      <w:tr w:rsidR="00105561" w14:paraId="750E057E" w14:textId="77777777">
        <w:tblPrEx>
          <w:tblCellMar>
            <w:top w:w="0" w:type="dxa"/>
            <w:bottom w:w="0" w:type="dxa"/>
          </w:tblCellMar>
        </w:tblPrEx>
        <w:trPr>
          <w:cantSplit/>
          <w:trHeight w:val="560"/>
        </w:trPr>
        <w:tc>
          <w:tcPr>
            <w:tcW w:w="700" w:type="dxa"/>
            <w:tcMar>
              <w:top w:w="0" w:type="dxa"/>
              <w:bottom w:w="0" w:type="dxa"/>
            </w:tcMar>
            <w:vAlign w:val="center"/>
          </w:tcPr>
          <w:p w14:paraId="4D7107CF" w14:textId="77777777" w:rsidR="00105561" w:rsidRDefault="00000000">
            <w:pPr>
              <w:keepNext/>
              <w:keepLines/>
              <w:spacing w:after="0" w:line="240" w:lineRule="auto"/>
            </w:pPr>
            <w:r>
              <w:rPr>
                <w:sz w:val="18"/>
              </w:rPr>
              <w:t>3811</w:t>
            </w:r>
          </w:p>
        </w:tc>
        <w:tc>
          <w:tcPr>
            <w:tcW w:w="3180" w:type="dxa"/>
            <w:tcMar>
              <w:top w:w="0" w:type="dxa"/>
              <w:bottom w:w="0" w:type="dxa"/>
            </w:tcMar>
            <w:vAlign w:val="center"/>
          </w:tcPr>
          <w:p w14:paraId="04455DC1" w14:textId="77777777" w:rsidR="00105561" w:rsidRDefault="00000000">
            <w:pPr>
              <w:keepNext/>
              <w:keepLines/>
              <w:spacing w:after="0" w:line="240" w:lineRule="auto"/>
            </w:pPr>
            <w:r>
              <w:rPr>
                <w:sz w:val="18"/>
              </w:rPr>
              <w:t>Tekuće donacije u novcu</w:t>
            </w:r>
          </w:p>
        </w:tc>
        <w:tc>
          <w:tcPr>
            <w:tcW w:w="700" w:type="dxa"/>
            <w:tcMar>
              <w:top w:w="0" w:type="dxa"/>
              <w:bottom w:w="0" w:type="dxa"/>
            </w:tcMar>
            <w:vAlign w:val="center"/>
          </w:tcPr>
          <w:p w14:paraId="742A6883" w14:textId="77777777" w:rsidR="00105561" w:rsidRDefault="00000000">
            <w:pPr>
              <w:keepNext/>
              <w:keepLines/>
              <w:spacing w:after="0" w:line="240" w:lineRule="auto"/>
            </w:pPr>
            <w:r>
              <w:rPr>
                <w:sz w:val="18"/>
              </w:rPr>
              <w:t>3811</w:t>
            </w:r>
          </w:p>
        </w:tc>
        <w:tc>
          <w:tcPr>
            <w:tcW w:w="1860" w:type="dxa"/>
            <w:tcMar>
              <w:top w:w="0" w:type="dxa"/>
              <w:bottom w:w="0" w:type="dxa"/>
            </w:tcMar>
            <w:vAlign w:val="center"/>
          </w:tcPr>
          <w:p w14:paraId="19F85AA9" w14:textId="77777777" w:rsidR="00105561" w:rsidRDefault="00000000">
            <w:pPr>
              <w:keepNext/>
              <w:keepLines/>
              <w:spacing w:after="0" w:line="240" w:lineRule="auto"/>
              <w:jc w:val="right"/>
            </w:pPr>
            <w:r>
              <w:rPr>
                <w:sz w:val="18"/>
              </w:rPr>
              <w:t>4.150,00</w:t>
            </w:r>
          </w:p>
        </w:tc>
        <w:tc>
          <w:tcPr>
            <w:tcW w:w="1860" w:type="dxa"/>
            <w:tcMar>
              <w:top w:w="0" w:type="dxa"/>
              <w:bottom w:w="0" w:type="dxa"/>
            </w:tcMar>
            <w:vAlign w:val="center"/>
          </w:tcPr>
          <w:p w14:paraId="67BABC9D" w14:textId="77777777" w:rsidR="00105561" w:rsidRDefault="00000000">
            <w:pPr>
              <w:keepNext/>
              <w:keepLines/>
              <w:spacing w:after="0" w:line="240" w:lineRule="auto"/>
              <w:jc w:val="right"/>
            </w:pPr>
            <w:r>
              <w:rPr>
                <w:sz w:val="18"/>
              </w:rPr>
              <w:t>3.650,00</w:t>
            </w:r>
          </w:p>
        </w:tc>
        <w:tc>
          <w:tcPr>
            <w:tcW w:w="700" w:type="dxa"/>
            <w:tcMar>
              <w:top w:w="0" w:type="dxa"/>
              <w:bottom w:w="0" w:type="dxa"/>
            </w:tcMar>
            <w:vAlign w:val="center"/>
          </w:tcPr>
          <w:p w14:paraId="01E2CE39" w14:textId="77777777" w:rsidR="00105561" w:rsidRDefault="00000000">
            <w:pPr>
              <w:keepNext/>
              <w:keepLines/>
              <w:spacing w:after="0" w:line="240" w:lineRule="auto"/>
              <w:jc w:val="right"/>
            </w:pPr>
            <w:r>
              <w:rPr>
                <w:sz w:val="18"/>
              </w:rPr>
              <w:t>88,0</w:t>
            </w:r>
          </w:p>
        </w:tc>
      </w:tr>
    </w:tbl>
    <w:p w14:paraId="35F5BA19" w14:textId="77777777" w:rsidR="00105561" w:rsidRDefault="00105561">
      <w:pPr>
        <w:spacing w:after="0"/>
      </w:pPr>
    </w:p>
    <w:p w14:paraId="2EF11D49" w14:textId="77777777" w:rsidR="00105561" w:rsidRDefault="00000000">
      <w:pPr>
        <w:jc w:val="both"/>
      </w:pPr>
      <w:r>
        <w:t>Tekuće donacije u novcu odnose se na donaciju udruzi studenata POM-F-RI u iznosu od  3.500,00 eura i Riječkoj nadbiskupiji u iznosu 150,00 eura.</w:t>
      </w:r>
    </w:p>
    <w:p w14:paraId="72FD48F1" w14:textId="77777777" w:rsidR="00105561" w:rsidRDefault="00105561"/>
    <w:p w14:paraId="79E43411" w14:textId="77777777" w:rsidR="00105561" w:rsidRDefault="00000000">
      <w:pPr>
        <w:keepNext/>
        <w:spacing w:line="240" w:lineRule="auto"/>
        <w:jc w:val="center"/>
      </w:pPr>
      <w:r>
        <w:rPr>
          <w:sz w:val="28"/>
        </w:rPr>
        <w:t>Bilješka 33.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05561" w14:paraId="13FE8F5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2AE6D62" w14:textId="77777777" w:rsidR="00105561"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8A71029" w14:textId="77777777" w:rsidR="00105561"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C23BA46" w14:textId="77777777" w:rsidR="00105561"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1AE1747" w14:textId="77777777" w:rsidR="00105561"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EBFBE69" w14:textId="77777777" w:rsidR="00105561"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CF87DCA" w14:textId="77777777" w:rsidR="00105561" w:rsidRDefault="00000000">
            <w:pPr>
              <w:keepNext/>
              <w:keepLines/>
              <w:spacing w:after="0" w:line="240" w:lineRule="auto"/>
              <w:jc w:val="center"/>
            </w:pPr>
            <w:r>
              <w:rPr>
                <w:b/>
                <w:sz w:val="18"/>
              </w:rPr>
              <w:t>Indeks (%)</w:t>
            </w:r>
          </w:p>
        </w:tc>
      </w:tr>
      <w:tr w:rsidR="00105561" w14:paraId="18559D17" w14:textId="77777777">
        <w:tblPrEx>
          <w:tblCellMar>
            <w:top w:w="0" w:type="dxa"/>
            <w:bottom w:w="0" w:type="dxa"/>
          </w:tblCellMar>
        </w:tblPrEx>
        <w:trPr>
          <w:cantSplit/>
          <w:trHeight w:val="560"/>
        </w:trPr>
        <w:tc>
          <w:tcPr>
            <w:tcW w:w="700" w:type="dxa"/>
            <w:tcMar>
              <w:top w:w="0" w:type="dxa"/>
              <w:bottom w:w="0" w:type="dxa"/>
            </w:tcMar>
            <w:vAlign w:val="center"/>
          </w:tcPr>
          <w:p w14:paraId="27CDD83F" w14:textId="77777777" w:rsidR="00105561" w:rsidRDefault="00000000">
            <w:pPr>
              <w:keepNext/>
              <w:keepLines/>
              <w:spacing w:after="0" w:line="240" w:lineRule="auto"/>
            </w:pPr>
            <w:r>
              <w:rPr>
                <w:sz w:val="18"/>
              </w:rPr>
              <w:t>3812</w:t>
            </w:r>
          </w:p>
        </w:tc>
        <w:tc>
          <w:tcPr>
            <w:tcW w:w="3180" w:type="dxa"/>
            <w:tcMar>
              <w:top w:w="0" w:type="dxa"/>
              <w:bottom w:w="0" w:type="dxa"/>
            </w:tcMar>
            <w:vAlign w:val="center"/>
          </w:tcPr>
          <w:p w14:paraId="1EEDA1FC" w14:textId="77777777" w:rsidR="00105561" w:rsidRDefault="00000000">
            <w:pPr>
              <w:keepNext/>
              <w:keepLines/>
              <w:spacing w:after="0" w:line="240" w:lineRule="auto"/>
            </w:pPr>
            <w:r>
              <w:rPr>
                <w:sz w:val="18"/>
              </w:rPr>
              <w:t>Tekuće donacije u naravi</w:t>
            </w:r>
          </w:p>
        </w:tc>
        <w:tc>
          <w:tcPr>
            <w:tcW w:w="700" w:type="dxa"/>
            <w:tcMar>
              <w:top w:w="0" w:type="dxa"/>
              <w:bottom w:w="0" w:type="dxa"/>
            </w:tcMar>
            <w:vAlign w:val="center"/>
          </w:tcPr>
          <w:p w14:paraId="1D6C03C3" w14:textId="77777777" w:rsidR="00105561" w:rsidRDefault="00000000">
            <w:pPr>
              <w:keepNext/>
              <w:keepLines/>
              <w:spacing w:after="0" w:line="240" w:lineRule="auto"/>
            </w:pPr>
            <w:r>
              <w:rPr>
                <w:sz w:val="18"/>
              </w:rPr>
              <w:t>3812</w:t>
            </w:r>
          </w:p>
        </w:tc>
        <w:tc>
          <w:tcPr>
            <w:tcW w:w="1860" w:type="dxa"/>
            <w:tcMar>
              <w:top w:w="0" w:type="dxa"/>
              <w:bottom w:w="0" w:type="dxa"/>
            </w:tcMar>
            <w:vAlign w:val="center"/>
          </w:tcPr>
          <w:p w14:paraId="53D900B1" w14:textId="77777777" w:rsidR="00105561" w:rsidRDefault="00000000">
            <w:pPr>
              <w:keepNext/>
              <w:keepLines/>
              <w:spacing w:after="0" w:line="240" w:lineRule="auto"/>
              <w:jc w:val="right"/>
            </w:pPr>
            <w:r>
              <w:rPr>
                <w:sz w:val="18"/>
              </w:rPr>
              <w:t>1.102,05</w:t>
            </w:r>
          </w:p>
        </w:tc>
        <w:tc>
          <w:tcPr>
            <w:tcW w:w="1860" w:type="dxa"/>
            <w:tcMar>
              <w:top w:w="0" w:type="dxa"/>
              <w:bottom w:w="0" w:type="dxa"/>
            </w:tcMar>
            <w:vAlign w:val="center"/>
          </w:tcPr>
          <w:p w14:paraId="46FC70A0" w14:textId="77777777" w:rsidR="00105561" w:rsidRDefault="00000000">
            <w:pPr>
              <w:keepNext/>
              <w:keepLines/>
              <w:spacing w:after="0" w:line="240" w:lineRule="auto"/>
              <w:jc w:val="right"/>
            </w:pPr>
            <w:r>
              <w:rPr>
                <w:sz w:val="18"/>
              </w:rPr>
              <w:t>783,75</w:t>
            </w:r>
          </w:p>
        </w:tc>
        <w:tc>
          <w:tcPr>
            <w:tcW w:w="700" w:type="dxa"/>
            <w:tcMar>
              <w:top w:w="0" w:type="dxa"/>
              <w:bottom w:w="0" w:type="dxa"/>
            </w:tcMar>
            <w:vAlign w:val="center"/>
          </w:tcPr>
          <w:p w14:paraId="5D797A4C" w14:textId="77777777" w:rsidR="00105561" w:rsidRDefault="00000000">
            <w:pPr>
              <w:keepNext/>
              <w:keepLines/>
              <w:spacing w:after="0" w:line="240" w:lineRule="auto"/>
              <w:jc w:val="right"/>
            </w:pPr>
            <w:r>
              <w:rPr>
                <w:sz w:val="18"/>
              </w:rPr>
              <w:t>71,1</w:t>
            </w:r>
          </w:p>
        </w:tc>
      </w:tr>
    </w:tbl>
    <w:p w14:paraId="277828EA" w14:textId="77777777" w:rsidR="00105561" w:rsidRDefault="00105561">
      <w:pPr>
        <w:spacing w:after="0"/>
      </w:pPr>
    </w:p>
    <w:p w14:paraId="47C65D44" w14:textId="77777777" w:rsidR="00105561" w:rsidRDefault="00000000">
      <w:pPr>
        <w:jc w:val="both"/>
      </w:pPr>
      <w:r>
        <w:t>Tekuće donacije u naravi u iznosu od 785,72 eura su prigodni darovi najboljim studentima Fakulteta (pametni satovi).</w:t>
      </w:r>
    </w:p>
    <w:p w14:paraId="1FF4E5C1" w14:textId="77777777" w:rsidR="00105561" w:rsidRDefault="00105561"/>
    <w:p w14:paraId="111ECDBF" w14:textId="77777777" w:rsidR="00105561" w:rsidRDefault="00000000">
      <w:pPr>
        <w:keepNext/>
        <w:spacing w:line="240" w:lineRule="auto"/>
        <w:jc w:val="center"/>
      </w:pPr>
      <w:r>
        <w:rPr>
          <w:sz w:val="28"/>
        </w:rPr>
        <w:t>Bilješka 34.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05561" w14:paraId="1A0237B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5C7C771" w14:textId="77777777" w:rsidR="00105561"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C3B1696" w14:textId="77777777" w:rsidR="00105561"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1DE5ED8" w14:textId="77777777" w:rsidR="00105561"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AE962F5" w14:textId="77777777" w:rsidR="00105561"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686065B" w14:textId="77777777" w:rsidR="00105561"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EAE911F" w14:textId="77777777" w:rsidR="00105561" w:rsidRDefault="00000000">
            <w:pPr>
              <w:keepNext/>
              <w:keepLines/>
              <w:spacing w:after="0" w:line="240" w:lineRule="auto"/>
              <w:jc w:val="center"/>
            </w:pPr>
            <w:r>
              <w:rPr>
                <w:b/>
                <w:sz w:val="18"/>
              </w:rPr>
              <w:t>Indeks (%)</w:t>
            </w:r>
          </w:p>
        </w:tc>
      </w:tr>
      <w:tr w:rsidR="00105561" w14:paraId="5137849E" w14:textId="77777777">
        <w:tblPrEx>
          <w:tblCellMar>
            <w:top w:w="0" w:type="dxa"/>
            <w:bottom w:w="0" w:type="dxa"/>
          </w:tblCellMar>
        </w:tblPrEx>
        <w:trPr>
          <w:cantSplit/>
          <w:trHeight w:val="560"/>
        </w:trPr>
        <w:tc>
          <w:tcPr>
            <w:tcW w:w="700" w:type="dxa"/>
            <w:tcMar>
              <w:top w:w="0" w:type="dxa"/>
              <w:bottom w:w="0" w:type="dxa"/>
            </w:tcMar>
            <w:vAlign w:val="center"/>
          </w:tcPr>
          <w:p w14:paraId="62203F12" w14:textId="77777777" w:rsidR="00105561" w:rsidRDefault="00000000">
            <w:pPr>
              <w:keepNext/>
              <w:keepLines/>
              <w:spacing w:after="0" w:line="240" w:lineRule="auto"/>
            </w:pPr>
            <w:r>
              <w:rPr>
                <w:sz w:val="18"/>
              </w:rPr>
              <w:t>3813</w:t>
            </w:r>
          </w:p>
        </w:tc>
        <w:tc>
          <w:tcPr>
            <w:tcW w:w="3180" w:type="dxa"/>
            <w:tcMar>
              <w:top w:w="0" w:type="dxa"/>
              <w:bottom w:w="0" w:type="dxa"/>
            </w:tcMar>
            <w:vAlign w:val="center"/>
          </w:tcPr>
          <w:p w14:paraId="0A207C58" w14:textId="77777777" w:rsidR="00105561" w:rsidRDefault="00000000">
            <w:pPr>
              <w:keepNext/>
              <w:keepLines/>
              <w:spacing w:after="0" w:line="240" w:lineRule="auto"/>
            </w:pPr>
            <w:r>
              <w:rPr>
                <w:sz w:val="18"/>
              </w:rPr>
              <w:t>Tekuće donacije iz EU sredstava</w:t>
            </w:r>
          </w:p>
        </w:tc>
        <w:tc>
          <w:tcPr>
            <w:tcW w:w="700" w:type="dxa"/>
            <w:tcMar>
              <w:top w:w="0" w:type="dxa"/>
              <w:bottom w:w="0" w:type="dxa"/>
            </w:tcMar>
            <w:vAlign w:val="center"/>
          </w:tcPr>
          <w:p w14:paraId="1B4EF78A" w14:textId="77777777" w:rsidR="00105561" w:rsidRDefault="00000000">
            <w:pPr>
              <w:keepNext/>
              <w:keepLines/>
              <w:spacing w:after="0" w:line="240" w:lineRule="auto"/>
            </w:pPr>
            <w:r>
              <w:rPr>
                <w:sz w:val="18"/>
              </w:rPr>
              <w:t>3813</w:t>
            </w:r>
          </w:p>
        </w:tc>
        <w:tc>
          <w:tcPr>
            <w:tcW w:w="1860" w:type="dxa"/>
            <w:tcMar>
              <w:top w:w="0" w:type="dxa"/>
              <w:bottom w:w="0" w:type="dxa"/>
            </w:tcMar>
            <w:vAlign w:val="center"/>
          </w:tcPr>
          <w:p w14:paraId="3F7B2C1E" w14:textId="77777777" w:rsidR="00105561" w:rsidRDefault="00000000">
            <w:pPr>
              <w:keepNext/>
              <w:keepLines/>
              <w:spacing w:after="0" w:line="240" w:lineRule="auto"/>
              <w:jc w:val="right"/>
            </w:pPr>
            <w:r>
              <w:rPr>
                <w:sz w:val="18"/>
              </w:rPr>
              <w:t>11.519,35</w:t>
            </w:r>
          </w:p>
        </w:tc>
        <w:tc>
          <w:tcPr>
            <w:tcW w:w="1860" w:type="dxa"/>
            <w:tcMar>
              <w:top w:w="0" w:type="dxa"/>
              <w:bottom w:w="0" w:type="dxa"/>
            </w:tcMar>
            <w:vAlign w:val="center"/>
          </w:tcPr>
          <w:p w14:paraId="73586392" w14:textId="77777777" w:rsidR="00105561" w:rsidRDefault="00000000">
            <w:pPr>
              <w:keepNext/>
              <w:keepLines/>
              <w:spacing w:after="0" w:line="240" w:lineRule="auto"/>
              <w:jc w:val="right"/>
            </w:pPr>
            <w:r>
              <w:rPr>
                <w:sz w:val="18"/>
              </w:rPr>
              <w:t>95.390,63</w:t>
            </w:r>
          </w:p>
        </w:tc>
        <w:tc>
          <w:tcPr>
            <w:tcW w:w="700" w:type="dxa"/>
            <w:tcMar>
              <w:top w:w="0" w:type="dxa"/>
              <w:bottom w:w="0" w:type="dxa"/>
            </w:tcMar>
            <w:vAlign w:val="center"/>
          </w:tcPr>
          <w:p w14:paraId="20F0CEBA" w14:textId="77777777" w:rsidR="00105561" w:rsidRDefault="00000000">
            <w:pPr>
              <w:keepNext/>
              <w:keepLines/>
              <w:spacing w:after="0" w:line="240" w:lineRule="auto"/>
              <w:jc w:val="right"/>
            </w:pPr>
            <w:r>
              <w:rPr>
                <w:sz w:val="18"/>
              </w:rPr>
              <w:t>828,1</w:t>
            </w:r>
          </w:p>
        </w:tc>
      </w:tr>
    </w:tbl>
    <w:p w14:paraId="59E79370" w14:textId="77777777" w:rsidR="00105561" w:rsidRDefault="00105561">
      <w:pPr>
        <w:spacing w:after="0"/>
      </w:pPr>
    </w:p>
    <w:p w14:paraId="24101B10" w14:textId="77777777" w:rsidR="00105561" w:rsidRDefault="00000000">
      <w:r>
        <w:lastRenderedPageBreak/>
        <w:t>Tekuće donacije iz EU sredstava su donacije Hrvatskoj gospodarskoj komori, partneru na TransH2 projektu.</w:t>
      </w:r>
    </w:p>
    <w:p w14:paraId="18EAF375" w14:textId="77777777" w:rsidR="00105561" w:rsidRDefault="00105561"/>
    <w:p w14:paraId="088A7D4A" w14:textId="77777777" w:rsidR="00105561" w:rsidRDefault="00000000">
      <w:pPr>
        <w:keepNext/>
        <w:spacing w:line="240" w:lineRule="auto"/>
        <w:jc w:val="center"/>
      </w:pPr>
      <w:r>
        <w:rPr>
          <w:sz w:val="28"/>
        </w:rPr>
        <w:t>Bilješka 35.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05561" w14:paraId="21D774B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3F532AF" w14:textId="77777777" w:rsidR="00105561"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0A64342" w14:textId="77777777" w:rsidR="00105561"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56F1317" w14:textId="77777777" w:rsidR="00105561"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13C4A93" w14:textId="77777777" w:rsidR="00105561"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105AE90" w14:textId="77777777" w:rsidR="00105561"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20696E4" w14:textId="77777777" w:rsidR="00105561" w:rsidRDefault="00000000">
            <w:pPr>
              <w:keepNext/>
              <w:keepLines/>
              <w:spacing w:after="0" w:line="240" w:lineRule="auto"/>
              <w:jc w:val="center"/>
            </w:pPr>
            <w:r>
              <w:rPr>
                <w:b/>
                <w:sz w:val="18"/>
              </w:rPr>
              <w:t>Indeks (%)</w:t>
            </w:r>
          </w:p>
        </w:tc>
      </w:tr>
      <w:tr w:rsidR="00105561" w14:paraId="510D06BC" w14:textId="77777777">
        <w:tblPrEx>
          <w:tblCellMar>
            <w:top w:w="0" w:type="dxa"/>
            <w:bottom w:w="0" w:type="dxa"/>
          </w:tblCellMar>
        </w:tblPrEx>
        <w:trPr>
          <w:cantSplit/>
          <w:trHeight w:val="560"/>
        </w:trPr>
        <w:tc>
          <w:tcPr>
            <w:tcW w:w="700" w:type="dxa"/>
            <w:tcMar>
              <w:top w:w="0" w:type="dxa"/>
              <w:bottom w:w="0" w:type="dxa"/>
            </w:tcMar>
            <w:vAlign w:val="center"/>
          </w:tcPr>
          <w:p w14:paraId="61A603D9" w14:textId="77777777" w:rsidR="00105561" w:rsidRDefault="00000000">
            <w:pPr>
              <w:keepNext/>
              <w:keepLines/>
              <w:spacing w:after="0" w:line="240" w:lineRule="auto"/>
            </w:pPr>
            <w:r>
              <w:rPr>
                <w:sz w:val="18"/>
              </w:rPr>
              <w:t>7</w:t>
            </w:r>
          </w:p>
        </w:tc>
        <w:tc>
          <w:tcPr>
            <w:tcW w:w="3180" w:type="dxa"/>
            <w:tcMar>
              <w:top w:w="0" w:type="dxa"/>
              <w:bottom w:w="0" w:type="dxa"/>
            </w:tcMar>
            <w:vAlign w:val="center"/>
          </w:tcPr>
          <w:p w14:paraId="38EE7479" w14:textId="77777777" w:rsidR="00105561" w:rsidRDefault="00000000">
            <w:pPr>
              <w:keepNext/>
              <w:keepLines/>
              <w:spacing w:after="0" w:line="240" w:lineRule="auto"/>
            </w:pPr>
            <w:r>
              <w:rPr>
                <w:sz w:val="18"/>
              </w:rPr>
              <w:t>Prihodi od prodaje nefinancijske imovine (šifre 71+72+73+74)</w:t>
            </w:r>
          </w:p>
        </w:tc>
        <w:tc>
          <w:tcPr>
            <w:tcW w:w="700" w:type="dxa"/>
            <w:tcMar>
              <w:top w:w="0" w:type="dxa"/>
              <w:bottom w:w="0" w:type="dxa"/>
            </w:tcMar>
            <w:vAlign w:val="center"/>
          </w:tcPr>
          <w:p w14:paraId="2EF71B3A" w14:textId="77777777" w:rsidR="00105561" w:rsidRDefault="00000000">
            <w:pPr>
              <w:keepNext/>
              <w:keepLines/>
              <w:spacing w:after="0" w:line="240" w:lineRule="auto"/>
            </w:pPr>
            <w:r>
              <w:rPr>
                <w:sz w:val="18"/>
              </w:rPr>
              <w:t>7</w:t>
            </w:r>
          </w:p>
        </w:tc>
        <w:tc>
          <w:tcPr>
            <w:tcW w:w="1860" w:type="dxa"/>
            <w:tcMar>
              <w:top w:w="0" w:type="dxa"/>
              <w:bottom w:w="0" w:type="dxa"/>
            </w:tcMar>
            <w:vAlign w:val="center"/>
          </w:tcPr>
          <w:p w14:paraId="58DC4EAB" w14:textId="77777777" w:rsidR="00105561" w:rsidRDefault="00000000">
            <w:pPr>
              <w:keepNext/>
              <w:keepLines/>
              <w:spacing w:after="0" w:line="240" w:lineRule="auto"/>
              <w:jc w:val="right"/>
            </w:pPr>
            <w:r>
              <w:rPr>
                <w:sz w:val="18"/>
              </w:rPr>
              <w:t>1.431,46</w:t>
            </w:r>
          </w:p>
        </w:tc>
        <w:tc>
          <w:tcPr>
            <w:tcW w:w="1860" w:type="dxa"/>
            <w:tcMar>
              <w:top w:w="0" w:type="dxa"/>
              <w:bottom w:w="0" w:type="dxa"/>
            </w:tcMar>
            <w:vAlign w:val="center"/>
          </w:tcPr>
          <w:p w14:paraId="16C2E4B8" w14:textId="77777777" w:rsidR="00105561" w:rsidRDefault="00000000">
            <w:pPr>
              <w:keepNext/>
              <w:keepLines/>
              <w:spacing w:after="0" w:line="240" w:lineRule="auto"/>
              <w:jc w:val="right"/>
            </w:pPr>
            <w:r>
              <w:rPr>
                <w:sz w:val="18"/>
              </w:rPr>
              <w:t>990,14</w:t>
            </w:r>
          </w:p>
        </w:tc>
        <w:tc>
          <w:tcPr>
            <w:tcW w:w="700" w:type="dxa"/>
            <w:tcMar>
              <w:top w:w="0" w:type="dxa"/>
              <w:bottom w:w="0" w:type="dxa"/>
            </w:tcMar>
            <w:vAlign w:val="center"/>
          </w:tcPr>
          <w:p w14:paraId="4DCD1E37" w14:textId="77777777" w:rsidR="00105561" w:rsidRDefault="00000000">
            <w:pPr>
              <w:keepNext/>
              <w:keepLines/>
              <w:spacing w:after="0" w:line="240" w:lineRule="auto"/>
              <w:jc w:val="right"/>
            </w:pPr>
            <w:r>
              <w:rPr>
                <w:sz w:val="18"/>
              </w:rPr>
              <w:t>69,2</w:t>
            </w:r>
          </w:p>
        </w:tc>
      </w:tr>
    </w:tbl>
    <w:p w14:paraId="7BC84391" w14:textId="77777777" w:rsidR="00105561" w:rsidRDefault="00105561">
      <w:pPr>
        <w:spacing w:after="0"/>
      </w:pPr>
    </w:p>
    <w:p w14:paraId="4CD519BF" w14:textId="77777777" w:rsidR="00105561" w:rsidRDefault="00000000">
      <w:pPr>
        <w:jc w:val="both"/>
      </w:pPr>
      <w:r>
        <w:t>Prihodi od prodaje nefinancijske imovine u iznosu od 990,14 eura odnose se na obročnu otplatu stanova temeljem ugovora o kupoprodaji stanova na kojima je postojalo stanarsko pravo u iznosu od 206,39 eura, dok prihodi od prodaje uredske opreme predstavljaju obvezno evidentiranje prihoda i rashoda za donaciju darova najboljim studentima u iznosu od 783,75 eura.</w:t>
      </w:r>
    </w:p>
    <w:p w14:paraId="264988D5" w14:textId="77777777" w:rsidR="00105561" w:rsidRDefault="00105561"/>
    <w:p w14:paraId="6E13220D" w14:textId="77777777" w:rsidR="00105561" w:rsidRDefault="00000000">
      <w:pPr>
        <w:keepNext/>
        <w:spacing w:line="240" w:lineRule="auto"/>
        <w:jc w:val="center"/>
      </w:pPr>
      <w:r>
        <w:rPr>
          <w:sz w:val="28"/>
        </w:rPr>
        <w:t>Bilješka 36.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05561" w14:paraId="7F5E9FB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F0E4248" w14:textId="77777777" w:rsidR="00105561"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111C436" w14:textId="77777777" w:rsidR="00105561"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1A10F6D" w14:textId="77777777" w:rsidR="00105561"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AD9B132" w14:textId="77777777" w:rsidR="00105561"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C6FBAE2" w14:textId="77777777" w:rsidR="00105561"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5614347" w14:textId="77777777" w:rsidR="00105561" w:rsidRDefault="00000000">
            <w:pPr>
              <w:keepNext/>
              <w:keepLines/>
              <w:spacing w:after="0" w:line="240" w:lineRule="auto"/>
              <w:jc w:val="center"/>
            </w:pPr>
            <w:r>
              <w:rPr>
                <w:b/>
                <w:sz w:val="18"/>
              </w:rPr>
              <w:t>Indeks (%)</w:t>
            </w:r>
          </w:p>
        </w:tc>
      </w:tr>
      <w:tr w:rsidR="00105561" w14:paraId="58BB905A" w14:textId="77777777">
        <w:tblPrEx>
          <w:tblCellMar>
            <w:top w:w="0" w:type="dxa"/>
            <w:bottom w:w="0" w:type="dxa"/>
          </w:tblCellMar>
        </w:tblPrEx>
        <w:trPr>
          <w:cantSplit/>
          <w:trHeight w:val="560"/>
        </w:trPr>
        <w:tc>
          <w:tcPr>
            <w:tcW w:w="700" w:type="dxa"/>
            <w:tcMar>
              <w:top w:w="0" w:type="dxa"/>
              <w:bottom w:w="0" w:type="dxa"/>
            </w:tcMar>
            <w:vAlign w:val="center"/>
          </w:tcPr>
          <w:p w14:paraId="6C22B7D3" w14:textId="77777777" w:rsidR="00105561" w:rsidRDefault="00000000">
            <w:pPr>
              <w:keepNext/>
              <w:keepLines/>
              <w:spacing w:after="0" w:line="240" w:lineRule="auto"/>
            </w:pPr>
            <w:r>
              <w:rPr>
                <w:sz w:val="18"/>
              </w:rPr>
              <w:t>4</w:t>
            </w:r>
          </w:p>
        </w:tc>
        <w:tc>
          <w:tcPr>
            <w:tcW w:w="3180" w:type="dxa"/>
            <w:tcMar>
              <w:top w:w="0" w:type="dxa"/>
              <w:bottom w:w="0" w:type="dxa"/>
            </w:tcMar>
            <w:vAlign w:val="center"/>
          </w:tcPr>
          <w:p w14:paraId="0AF31344" w14:textId="77777777" w:rsidR="00105561" w:rsidRDefault="00000000">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14:paraId="2A36C3B0" w14:textId="77777777" w:rsidR="00105561" w:rsidRDefault="00000000">
            <w:pPr>
              <w:keepNext/>
              <w:keepLines/>
              <w:spacing w:after="0" w:line="240" w:lineRule="auto"/>
            </w:pPr>
            <w:r>
              <w:rPr>
                <w:sz w:val="18"/>
              </w:rPr>
              <w:t>4</w:t>
            </w:r>
          </w:p>
        </w:tc>
        <w:tc>
          <w:tcPr>
            <w:tcW w:w="1860" w:type="dxa"/>
            <w:tcMar>
              <w:top w:w="0" w:type="dxa"/>
              <w:bottom w:w="0" w:type="dxa"/>
            </w:tcMar>
            <w:vAlign w:val="center"/>
          </w:tcPr>
          <w:p w14:paraId="11FE0252" w14:textId="77777777" w:rsidR="00105561" w:rsidRDefault="00000000">
            <w:pPr>
              <w:keepNext/>
              <w:keepLines/>
              <w:spacing w:after="0" w:line="240" w:lineRule="auto"/>
              <w:jc w:val="right"/>
            </w:pPr>
            <w:r>
              <w:rPr>
                <w:sz w:val="18"/>
              </w:rPr>
              <w:t>228.189,13</w:t>
            </w:r>
          </w:p>
        </w:tc>
        <w:tc>
          <w:tcPr>
            <w:tcW w:w="1860" w:type="dxa"/>
            <w:tcMar>
              <w:top w:w="0" w:type="dxa"/>
              <w:bottom w:w="0" w:type="dxa"/>
            </w:tcMar>
            <w:vAlign w:val="center"/>
          </w:tcPr>
          <w:p w14:paraId="58ABACEC" w14:textId="77777777" w:rsidR="00105561" w:rsidRDefault="00000000">
            <w:pPr>
              <w:keepNext/>
              <w:keepLines/>
              <w:spacing w:after="0" w:line="240" w:lineRule="auto"/>
              <w:jc w:val="right"/>
            </w:pPr>
            <w:r>
              <w:rPr>
                <w:sz w:val="18"/>
              </w:rPr>
              <w:t>259.738,65</w:t>
            </w:r>
          </w:p>
        </w:tc>
        <w:tc>
          <w:tcPr>
            <w:tcW w:w="700" w:type="dxa"/>
            <w:tcMar>
              <w:top w:w="0" w:type="dxa"/>
              <w:bottom w:w="0" w:type="dxa"/>
            </w:tcMar>
            <w:vAlign w:val="center"/>
          </w:tcPr>
          <w:p w14:paraId="4D15CF39" w14:textId="77777777" w:rsidR="00105561" w:rsidRDefault="00000000">
            <w:pPr>
              <w:keepNext/>
              <w:keepLines/>
              <w:spacing w:after="0" w:line="240" w:lineRule="auto"/>
              <w:jc w:val="right"/>
            </w:pPr>
            <w:r>
              <w:rPr>
                <w:sz w:val="18"/>
              </w:rPr>
              <w:t>113,8</w:t>
            </w:r>
          </w:p>
        </w:tc>
      </w:tr>
    </w:tbl>
    <w:p w14:paraId="2E9DB3F3" w14:textId="77777777" w:rsidR="00105561" w:rsidRDefault="00105561">
      <w:pPr>
        <w:spacing w:after="0"/>
      </w:pPr>
    </w:p>
    <w:p w14:paraId="730D304A" w14:textId="77777777" w:rsidR="00105561" w:rsidRDefault="00000000">
      <w:r>
        <w:t>Rashodi za nabavu nefinancijske imovine ostvareni su u iznosu od 259.738,65 eura što je više za 13,8% u odnosu prethodnu godinu. </w:t>
      </w:r>
    </w:p>
    <w:p w14:paraId="5C027DDE" w14:textId="77777777" w:rsidR="00105561" w:rsidRDefault="00000000">
      <w:pPr>
        <w:jc w:val="both"/>
      </w:pPr>
      <w:r>
        <w:t>Na povećanje rashoda najviše je utjecala nabava programske i simulatorske podrške za  simulator financirana od strane Ministarstva mora, prometa i infrastrukture u iznosu 188.090,00 eura evidentirana na stavci ulaganja u računalne programe i nabavu opreme, a sredstva s raspoređena unutar aktivnosti K621061-Održavanje infrastrukture Ministarstva znanosti obrazovanja i mladih. </w:t>
      </w:r>
    </w:p>
    <w:p w14:paraId="66A39892" w14:textId="77777777" w:rsidR="00105561" w:rsidRDefault="00105561"/>
    <w:p w14:paraId="2D20FA99" w14:textId="77777777" w:rsidR="00105561" w:rsidRDefault="00000000">
      <w:pPr>
        <w:keepNext/>
        <w:spacing w:line="240" w:lineRule="auto"/>
        <w:jc w:val="center"/>
      </w:pPr>
      <w:r>
        <w:rPr>
          <w:sz w:val="28"/>
        </w:rPr>
        <w:t>Bilješka 37.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05561" w14:paraId="65661BF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53A8616" w14:textId="77777777" w:rsidR="00105561"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136F747" w14:textId="77777777" w:rsidR="00105561"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4B906E2" w14:textId="77777777" w:rsidR="00105561"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949C665" w14:textId="77777777" w:rsidR="00105561"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E4CF6AC" w14:textId="77777777" w:rsidR="00105561"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99FE020" w14:textId="77777777" w:rsidR="00105561" w:rsidRDefault="00000000">
            <w:pPr>
              <w:keepNext/>
              <w:keepLines/>
              <w:spacing w:after="0" w:line="240" w:lineRule="auto"/>
              <w:jc w:val="center"/>
            </w:pPr>
            <w:r>
              <w:rPr>
                <w:b/>
                <w:sz w:val="18"/>
              </w:rPr>
              <w:t>Indeks (%)</w:t>
            </w:r>
          </w:p>
        </w:tc>
      </w:tr>
      <w:tr w:rsidR="00105561" w14:paraId="56236823" w14:textId="77777777">
        <w:tblPrEx>
          <w:tblCellMar>
            <w:top w:w="0" w:type="dxa"/>
            <w:bottom w:w="0" w:type="dxa"/>
          </w:tblCellMar>
        </w:tblPrEx>
        <w:trPr>
          <w:cantSplit/>
          <w:trHeight w:val="560"/>
        </w:trPr>
        <w:tc>
          <w:tcPr>
            <w:tcW w:w="700" w:type="dxa"/>
            <w:tcMar>
              <w:top w:w="0" w:type="dxa"/>
              <w:bottom w:w="0" w:type="dxa"/>
            </w:tcMar>
            <w:vAlign w:val="center"/>
          </w:tcPr>
          <w:p w14:paraId="194AD11B" w14:textId="77777777" w:rsidR="00105561" w:rsidRDefault="00000000">
            <w:pPr>
              <w:keepNext/>
              <w:keepLines/>
              <w:spacing w:after="0" w:line="240" w:lineRule="auto"/>
            </w:pPr>
            <w:r>
              <w:rPr>
                <w:sz w:val="18"/>
              </w:rPr>
              <w:t>422</w:t>
            </w:r>
          </w:p>
        </w:tc>
        <w:tc>
          <w:tcPr>
            <w:tcW w:w="3180" w:type="dxa"/>
            <w:tcMar>
              <w:top w:w="0" w:type="dxa"/>
              <w:bottom w:w="0" w:type="dxa"/>
            </w:tcMar>
            <w:vAlign w:val="center"/>
          </w:tcPr>
          <w:p w14:paraId="6644C981" w14:textId="77777777" w:rsidR="00105561" w:rsidRDefault="00000000">
            <w:pPr>
              <w:keepNext/>
              <w:keepLines/>
              <w:spacing w:after="0" w:line="240" w:lineRule="auto"/>
            </w:pPr>
            <w:r>
              <w:rPr>
                <w:sz w:val="18"/>
              </w:rPr>
              <w:t>Postrojenja i oprema (šifre 4221 do 4228)</w:t>
            </w:r>
          </w:p>
        </w:tc>
        <w:tc>
          <w:tcPr>
            <w:tcW w:w="700" w:type="dxa"/>
            <w:tcMar>
              <w:top w:w="0" w:type="dxa"/>
              <w:bottom w:w="0" w:type="dxa"/>
            </w:tcMar>
            <w:vAlign w:val="center"/>
          </w:tcPr>
          <w:p w14:paraId="77F34BC0" w14:textId="77777777" w:rsidR="00105561" w:rsidRDefault="00000000">
            <w:pPr>
              <w:keepNext/>
              <w:keepLines/>
              <w:spacing w:after="0" w:line="240" w:lineRule="auto"/>
            </w:pPr>
            <w:r>
              <w:rPr>
                <w:sz w:val="18"/>
              </w:rPr>
              <w:t>422</w:t>
            </w:r>
          </w:p>
        </w:tc>
        <w:tc>
          <w:tcPr>
            <w:tcW w:w="1860" w:type="dxa"/>
            <w:tcMar>
              <w:top w:w="0" w:type="dxa"/>
              <w:bottom w:w="0" w:type="dxa"/>
            </w:tcMar>
            <w:vAlign w:val="center"/>
          </w:tcPr>
          <w:p w14:paraId="4BAE088C" w14:textId="77777777" w:rsidR="00105561" w:rsidRDefault="00000000">
            <w:pPr>
              <w:keepNext/>
              <w:keepLines/>
              <w:spacing w:after="0" w:line="240" w:lineRule="auto"/>
              <w:jc w:val="right"/>
            </w:pPr>
            <w:r>
              <w:rPr>
                <w:sz w:val="18"/>
              </w:rPr>
              <w:t>190.757,40</w:t>
            </w:r>
          </w:p>
        </w:tc>
        <w:tc>
          <w:tcPr>
            <w:tcW w:w="1860" w:type="dxa"/>
            <w:tcMar>
              <w:top w:w="0" w:type="dxa"/>
              <w:bottom w:w="0" w:type="dxa"/>
            </w:tcMar>
            <w:vAlign w:val="center"/>
          </w:tcPr>
          <w:p w14:paraId="6E8AD02D" w14:textId="77777777" w:rsidR="00105561" w:rsidRDefault="00000000">
            <w:pPr>
              <w:keepNext/>
              <w:keepLines/>
              <w:spacing w:after="0" w:line="240" w:lineRule="auto"/>
              <w:jc w:val="right"/>
            </w:pPr>
            <w:r>
              <w:rPr>
                <w:sz w:val="18"/>
              </w:rPr>
              <w:t>132.466,05</w:t>
            </w:r>
          </w:p>
        </w:tc>
        <w:tc>
          <w:tcPr>
            <w:tcW w:w="700" w:type="dxa"/>
            <w:tcMar>
              <w:top w:w="0" w:type="dxa"/>
              <w:bottom w:w="0" w:type="dxa"/>
            </w:tcMar>
            <w:vAlign w:val="center"/>
          </w:tcPr>
          <w:p w14:paraId="5E614F13" w14:textId="77777777" w:rsidR="00105561" w:rsidRDefault="00000000">
            <w:pPr>
              <w:keepNext/>
              <w:keepLines/>
              <w:spacing w:after="0" w:line="240" w:lineRule="auto"/>
              <w:jc w:val="right"/>
            </w:pPr>
            <w:r>
              <w:rPr>
                <w:sz w:val="18"/>
              </w:rPr>
              <w:t>69,4</w:t>
            </w:r>
          </w:p>
        </w:tc>
      </w:tr>
    </w:tbl>
    <w:p w14:paraId="275EF78F" w14:textId="77777777" w:rsidR="00105561" w:rsidRDefault="00105561">
      <w:pPr>
        <w:spacing w:after="0"/>
      </w:pPr>
    </w:p>
    <w:p w14:paraId="014BF18F" w14:textId="77777777" w:rsidR="00105561" w:rsidRDefault="00000000">
      <w:pPr>
        <w:jc w:val="both"/>
      </w:pPr>
      <w:r>
        <w:t>Nabava Postrojenja i opreme manja je za 30,6% i odnosi se uglavnom na nabavu uredskog namještaja za potrebe opremanja ureda zaposlenika Fakulteta u iznosu 29.329,94  eura, a ostatak opreme koji je trebao biti nabavljen u sklopu javne nabave realiziran je u siječnju 2026. godine. </w:t>
      </w:r>
    </w:p>
    <w:p w14:paraId="597EAECC" w14:textId="77777777" w:rsidR="00105561" w:rsidRDefault="00105561"/>
    <w:p w14:paraId="6C04BC9F" w14:textId="77777777" w:rsidR="00105561" w:rsidRDefault="00000000">
      <w:pPr>
        <w:keepNext/>
        <w:spacing w:line="240" w:lineRule="auto"/>
        <w:jc w:val="center"/>
      </w:pPr>
      <w:r>
        <w:rPr>
          <w:sz w:val="28"/>
        </w:rPr>
        <w:t>Bilješka 38.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05561" w14:paraId="374410C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CC51660" w14:textId="77777777" w:rsidR="00105561"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FF82907" w14:textId="77777777" w:rsidR="00105561"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E4AEEAC" w14:textId="77777777" w:rsidR="00105561"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BB32383" w14:textId="77777777" w:rsidR="00105561"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2662924" w14:textId="77777777" w:rsidR="00105561"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44507AC" w14:textId="77777777" w:rsidR="00105561" w:rsidRDefault="00000000">
            <w:pPr>
              <w:keepNext/>
              <w:keepLines/>
              <w:spacing w:after="0" w:line="240" w:lineRule="auto"/>
              <w:jc w:val="center"/>
            </w:pPr>
            <w:r>
              <w:rPr>
                <w:b/>
                <w:sz w:val="18"/>
              </w:rPr>
              <w:t>Indeks (%)</w:t>
            </w:r>
          </w:p>
        </w:tc>
      </w:tr>
      <w:tr w:rsidR="00105561" w14:paraId="532A3605" w14:textId="77777777">
        <w:tblPrEx>
          <w:tblCellMar>
            <w:top w:w="0" w:type="dxa"/>
            <w:bottom w:w="0" w:type="dxa"/>
          </w:tblCellMar>
        </w:tblPrEx>
        <w:trPr>
          <w:cantSplit/>
          <w:trHeight w:val="560"/>
        </w:trPr>
        <w:tc>
          <w:tcPr>
            <w:tcW w:w="700" w:type="dxa"/>
            <w:tcMar>
              <w:top w:w="0" w:type="dxa"/>
              <w:bottom w:w="0" w:type="dxa"/>
            </w:tcMar>
            <w:vAlign w:val="center"/>
          </w:tcPr>
          <w:p w14:paraId="49454E9B" w14:textId="77777777" w:rsidR="00105561" w:rsidRDefault="00000000">
            <w:pPr>
              <w:keepNext/>
              <w:keepLines/>
              <w:spacing w:after="0" w:line="240" w:lineRule="auto"/>
            </w:pPr>
            <w:r>
              <w:rPr>
                <w:sz w:val="18"/>
              </w:rPr>
              <w:t>4227</w:t>
            </w:r>
          </w:p>
        </w:tc>
        <w:tc>
          <w:tcPr>
            <w:tcW w:w="3180" w:type="dxa"/>
            <w:tcMar>
              <w:top w:w="0" w:type="dxa"/>
              <w:bottom w:w="0" w:type="dxa"/>
            </w:tcMar>
            <w:vAlign w:val="center"/>
          </w:tcPr>
          <w:p w14:paraId="02E56AC0" w14:textId="77777777" w:rsidR="00105561" w:rsidRDefault="00000000">
            <w:pPr>
              <w:keepNext/>
              <w:keepLines/>
              <w:spacing w:after="0" w:line="240" w:lineRule="auto"/>
            </w:pPr>
            <w:r>
              <w:rPr>
                <w:sz w:val="18"/>
              </w:rPr>
              <w:t>Uređaji, strojevi i oprema za ostale namjene</w:t>
            </w:r>
          </w:p>
        </w:tc>
        <w:tc>
          <w:tcPr>
            <w:tcW w:w="700" w:type="dxa"/>
            <w:tcMar>
              <w:top w:w="0" w:type="dxa"/>
              <w:bottom w:w="0" w:type="dxa"/>
            </w:tcMar>
            <w:vAlign w:val="center"/>
          </w:tcPr>
          <w:p w14:paraId="363D0471" w14:textId="77777777" w:rsidR="00105561" w:rsidRDefault="00000000">
            <w:pPr>
              <w:keepNext/>
              <w:keepLines/>
              <w:spacing w:after="0" w:line="240" w:lineRule="auto"/>
            </w:pPr>
            <w:r>
              <w:rPr>
                <w:sz w:val="18"/>
              </w:rPr>
              <w:t>4227</w:t>
            </w:r>
          </w:p>
        </w:tc>
        <w:tc>
          <w:tcPr>
            <w:tcW w:w="1860" w:type="dxa"/>
            <w:tcMar>
              <w:top w:w="0" w:type="dxa"/>
              <w:bottom w:w="0" w:type="dxa"/>
            </w:tcMar>
            <w:vAlign w:val="center"/>
          </w:tcPr>
          <w:p w14:paraId="5DE041D6" w14:textId="77777777" w:rsidR="00105561" w:rsidRDefault="00000000">
            <w:pPr>
              <w:keepNext/>
              <w:keepLines/>
              <w:spacing w:after="0" w:line="240" w:lineRule="auto"/>
              <w:jc w:val="right"/>
            </w:pPr>
            <w:r>
              <w:rPr>
                <w:sz w:val="18"/>
              </w:rPr>
              <w:t>2.951,80</w:t>
            </w:r>
          </w:p>
        </w:tc>
        <w:tc>
          <w:tcPr>
            <w:tcW w:w="1860" w:type="dxa"/>
            <w:tcMar>
              <w:top w:w="0" w:type="dxa"/>
              <w:bottom w:w="0" w:type="dxa"/>
            </w:tcMar>
            <w:vAlign w:val="center"/>
          </w:tcPr>
          <w:p w14:paraId="7F4A96F7" w14:textId="77777777" w:rsidR="00105561" w:rsidRDefault="00000000">
            <w:pPr>
              <w:keepNext/>
              <w:keepLines/>
              <w:spacing w:after="0" w:line="240" w:lineRule="auto"/>
              <w:jc w:val="right"/>
            </w:pPr>
            <w:r>
              <w:rPr>
                <w:sz w:val="18"/>
              </w:rPr>
              <w:t>23.513,74</w:t>
            </w:r>
          </w:p>
        </w:tc>
        <w:tc>
          <w:tcPr>
            <w:tcW w:w="700" w:type="dxa"/>
            <w:tcMar>
              <w:top w:w="0" w:type="dxa"/>
              <w:bottom w:w="0" w:type="dxa"/>
            </w:tcMar>
            <w:vAlign w:val="center"/>
          </w:tcPr>
          <w:p w14:paraId="6B8E74F8" w14:textId="77777777" w:rsidR="00105561" w:rsidRDefault="00000000">
            <w:pPr>
              <w:keepNext/>
              <w:keepLines/>
              <w:spacing w:after="0" w:line="240" w:lineRule="auto"/>
              <w:jc w:val="right"/>
            </w:pPr>
            <w:r>
              <w:rPr>
                <w:sz w:val="18"/>
              </w:rPr>
              <w:t>796,6</w:t>
            </w:r>
          </w:p>
        </w:tc>
      </w:tr>
    </w:tbl>
    <w:p w14:paraId="15673543" w14:textId="77777777" w:rsidR="00105561" w:rsidRDefault="00105561">
      <w:pPr>
        <w:spacing w:after="0"/>
      </w:pPr>
    </w:p>
    <w:p w14:paraId="3372FDD8" w14:textId="77777777" w:rsidR="00105561" w:rsidRDefault="00000000">
      <w:pPr>
        <w:jc w:val="both"/>
      </w:pPr>
      <w:r>
        <w:t>Nabava uređaja i opreme za ostale namjene odnosi se na nabavu kompresora za punjenje boca sa zrakom različitih dimenzija u radionici Torpedo u iznosu 11.337,50 eura koji je bitan i za  uspješan dovršetak aktivnih Uniri zip projekata 3D Wreck i Marine Litter. Nabavljen je i prijenosni generator električne energije pogonjen baterijskim napajanjem (ECO verzija)  za potrebe projekta FRED u iznosu 3.044,00 eura.</w:t>
      </w:r>
    </w:p>
    <w:p w14:paraId="5D810B47" w14:textId="77777777" w:rsidR="00105561" w:rsidRDefault="00105561"/>
    <w:p w14:paraId="3A9A8B65" w14:textId="77777777" w:rsidR="00105561" w:rsidRDefault="00000000">
      <w:pPr>
        <w:keepNext/>
        <w:spacing w:line="240" w:lineRule="auto"/>
        <w:jc w:val="center"/>
      </w:pPr>
      <w:r>
        <w:rPr>
          <w:sz w:val="28"/>
        </w:rPr>
        <w:t>Bilješka 39.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05561" w14:paraId="5B22768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5E26B0C" w14:textId="77777777" w:rsidR="00105561"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A317E87" w14:textId="77777777" w:rsidR="00105561"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7CFF2B7" w14:textId="77777777" w:rsidR="00105561"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F9EF8A6" w14:textId="77777777" w:rsidR="00105561"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0B5CB8D" w14:textId="77777777" w:rsidR="00105561"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94EB27E" w14:textId="77777777" w:rsidR="00105561" w:rsidRDefault="00000000">
            <w:pPr>
              <w:keepNext/>
              <w:keepLines/>
              <w:spacing w:after="0" w:line="240" w:lineRule="auto"/>
              <w:jc w:val="center"/>
            </w:pPr>
            <w:r>
              <w:rPr>
                <w:b/>
                <w:sz w:val="18"/>
              </w:rPr>
              <w:t>Indeks (%)</w:t>
            </w:r>
          </w:p>
        </w:tc>
      </w:tr>
      <w:tr w:rsidR="00105561" w14:paraId="001912B7" w14:textId="77777777">
        <w:tblPrEx>
          <w:tblCellMar>
            <w:top w:w="0" w:type="dxa"/>
            <w:bottom w:w="0" w:type="dxa"/>
          </w:tblCellMar>
        </w:tblPrEx>
        <w:trPr>
          <w:cantSplit/>
          <w:trHeight w:val="560"/>
        </w:trPr>
        <w:tc>
          <w:tcPr>
            <w:tcW w:w="700" w:type="dxa"/>
            <w:tcMar>
              <w:top w:w="0" w:type="dxa"/>
              <w:bottom w:w="0" w:type="dxa"/>
            </w:tcMar>
            <w:vAlign w:val="center"/>
          </w:tcPr>
          <w:p w14:paraId="542AAC8E" w14:textId="77777777" w:rsidR="00105561" w:rsidRDefault="00000000">
            <w:pPr>
              <w:keepNext/>
              <w:keepLines/>
              <w:spacing w:after="0" w:line="240" w:lineRule="auto"/>
            </w:pPr>
            <w:r>
              <w:rPr>
                <w:sz w:val="18"/>
              </w:rPr>
              <w:t>81</w:t>
            </w:r>
          </w:p>
        </w:tc>
        <w:tc>
          <w:tcPr>
            <w:tcW w:w="3180" w:type="dxa"/>
            <w:tcMar>
              <w:top w:w="0" w:type="dxa"/>
              <w:bottom w:w="0" w:type="dxa"/>
            </w:tcMar>
            <w:vAlign w:val="center"/>
          </w:tcPr>
          <w:p w14:paraId="042A994F" w14:textId="77777777" w:rsidR="00105561" w:rsidRDefault="00000000">
            <w:pPr>
              <w:keepNext/>
              <w:keepLines/>
              <w:spacing w:after="0" w:line="240" w:lineRule="auto"/>
            </w:pPr>
            <w:r>
              <w:rPr>
                <w:sz w:val="18"/>
              </w:rPr>
              <w:t>Primljeni povrati glavnica danih zajmova (šifre 811+812+813+814+815+816+817+818)</w:t>
            </w:r>
          </w:p>
        </w:tc>
        <w:tc>
          <w:tcPr>
            <w:tcW w:w="700" w:type="dxa"/>
            <w:tcMar>
              <w:top w:w="0" w:type="dxa"/>
              <w:bottom w:w="0" w:type="dxa"/>
            </w:tcMar>
            <w:vAlign w:val="center"/>
          </w:tcPr>
          <w:p w14:paraId="71481761" w14:textId="77777777" w:rsidR="00105561" w:rsidRDefault="00000000">
            <w:pPr>
              <w:keepNext/>
              <w:keepLines/>
              <w:spacing w:after="0" w:line="240" w:lineRule="auto"/>
            </w:pPr>
            <w:r>
              <w:rPr>
                <w:sz w:val="18"/>
              </w:rPr>
              <w:t>81</w:t>
            </w:r>
          </w:p>
        </w:tc>
        <w:tc>
          <w:tcPr>
            <w:tcW w:w="1860" w:type="dxa"/>
            <w:tcMar>
              <w:top w:w="0" w:type="dxa"/>
              <w:bottom w:w="0" w:type="dxa"/>
            </w:tcMar>
            <w:vAlign w:val="center"/>
          </w:tcPr>
          <w:p w14:paraId="75B5E077" w14:textId="77777777" w:rsidR="00105561" w:rsidRDefault="00000000">
            <w:pPr>
              <w:keepNext/>
              <w:keepLines/>
              <w:spacing w:after="0" w:line="240" w:lineRule="auto"/>
              <w:jc w:val="right"/>
            </w:pPr>
            <w:r>
              <w:rPr>
                <w:sz w:val="18"/>
              </w:rPr>
              <w:t>2.500,00</w:t>
            </w:r>
          </w:p>
        </w:tc>
        <w:tc>
          <w:tcPr>
            <w:tcW w:w="1860" w:type="dxa"/>
            <w:tcMar>
              <w:top w:w="0" w:type="dxa"/>
              <w:bottom w:w="0" w:type="dxa"/>
            </w:tcMar>
            <w:vAlign w:val="center"/>
          </w:tcPr>
          <w:p w14:paraId="5D713BBA" w14:textId="77777777" w:rsidR="00105561" w:rsidRDefault="00000000">
            <w:pPr>
              <w:keepNext/>
              <w:keepLines/>
              <w:spacing w:after="0" w:line="240" w:lineRule="auto"/>
              <w:jc w:val="right"/>
            </w:pPr>
            <w:r>
              <w:rPr>
                <w:sz w:val="18"/>
              </w:rPr>
              <w:t>2.050,00</w:t>
            </w:r>
          </w:p>
        </w:tc>
        <w:tc>
          <w:tcPr>
            <w:tcW w:w="700" w:type="dxa"/>
            <w:tcMar>
              <w:top w:w="0" w:type="dxa"/>
              <w:bottom w:w="0" w:type="dxa"/>
            </w:tcMar>
            <w:vAlign w:val="center"/>
          </w:tcPr>
          <w:p w14:paraId="5C0D2A35" w14:textId="77777777" w:rsidR="00105561" w:rsidRDefault="00000000">
            <w:pPr>
              <w:keepNext/>
              <w:keepLines/>
              <w:spacing w:after="0" w:line="240" w:lineRule="auto"/>
              <w:jc w:val="right"/>
            </w:pPr>
            <w:r>
              <w:rPr>
                <w:sz w:val="18"/>
              </w:rPr>
              <w:t>82,0</w:t>
            </w:r>
          </w:p>
        </w:tc>
      </w:tr>
    </w:tbl>
    <w:p w14:paraId="5CEFB9B1" w14:textId="77777777" w:rsidR="00105561" w:rsidRDefault="00105561">
      <w:pPr>
        <w:spacing w:after="0"/>
      </w:pPr>
    </w:p>
    <w:p w14:paraId="73B39284" w14:textId="77777777" w:rsidR="00105561" w:rsidRDefault="00000000">
      <w:r>
        <w:t>Primici od povrata jamčevnih pologa odnose se na povrat jamčevnog pologa za uredno izvršenje ugovora u iznosu od 2.050,00 eura od strane naručitelja izrade stručnog projekta.  </w:t>
      </w:r>
    </w:p>
    <w:p w14:paraId="4B08C9EA" w14:textId="77777777" w:rsidR="00105561" w:rsidRDefault="00105561"/>
    <w:p w14:paraId="2B36E881" w14:textId="77777777" w:rsidR="00105561" w:rsidRDefault="00000000">
      <w:pPr>
        <w:keepNext/>
        <w:spacing w:line="240" w:lineRule="auto"/>
        <w:jc w:val="center"/>
      </w:pPr>
      <w:r>
        <w:rPr>
          <w:sz w:val="28"/>
        </w:rPr>
        <w:t>Bilješka 40.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05561" w14:paraId="5196761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482762D" w14:textId="77777777" w:rsidR="00105561"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BFC89F8" w14:textId="77777777" w:rsidR="00105561"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245BF0B" w14:textId="77777777" w:rsidR="00105561"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8BEDB91" w14:textId="77777777" w:rsidR="00105561"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CFA29F6" w14:textId="77777777" w:rsidR="00105561"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4288580" w14:textId="77777777" w:rsidR="00105561" w:rsidRDefault="00000000">
            <w:pPr>
              <w:keepNext/>
              <w:keepLines/>
              <w:spacing w:after="0" w:line="240" w:lineRule="auto"/>
              <w:jc w:val="center"/>
            </w:pPr>
            <w:r>
              <w:rPr>
                <w:b/>
                <w:sz w:val="18"/>
              </w:rPr>
              <w:t>Indeks (%)</w:t>
            </w:r>
          </w:p>
        </w:tc>
      </w:tr>
      <w:tr w:rsidR="00105561" w14:paraId="1DEF7D2C" w14:textId="77777777">
        <w:tblPrEx>
          <w:tblCellMar>
            <w:top w:w="0" w:type="dxa"/>
            <w:bottom w:w="0" w:type="dxa"/>
          </w:tblCellMar>
        </w:tblPrEx>
        <w:trPr>
          <w:cantSplit/>
          <w:trHeight w:val="560"/>
        </w:trPr>
        <w:tc>
          <w:tcPr>
            <w:tcW w:w="700" w:type="dxa"/>
            <w:tcMar>
              <w:top w:w="0" w:type="dxa"/>
              <w:bottom w:w="0" w:type="dxa"/>
            </w:tcMar>
            <w:vAlign w:val="center"/>
          </w:tcPr>
          <w:p w14:paraId="143DFEB2" w14:textId="77777777" w:rsidR="00105561" w:rsidRDefault="00000000">
            <w:pPr>
              <w:keepNext/>
              <w:keepLines/>
              <w:spacing w:after="0" w:line="240" w:lineRule="auto"/>
            </w:pPr>
            <w:r>
              <w:rPr>
                <w:sz w:val="18"/>
              </w:rPr>
              <w:t>518</w:t>
            </w:r>
          </w:p>
        </w:tc>
        <w:tc>
          <w:tcPr>
            <w:tcW w:w="3180" w:type="dxa"/>
            <w:tcMar>
              <w:top w:w="0" w:type="dxa"/>
              <w:bottom w:w="0" w:type="dxa"/>
            </w:tcMar>
            <w:vAlign w:val="center"/>
          </w:tcPr>
          <w:p w14:paraId="2960A312" w14:textId="77777777" w:rsidR="00105561" w:rsidRDefault="00000000">
            <w:pPr>
              <w:keepNext/>
              <w:keepLines/>
              <w:spacing w:after="0" w:line="240" w:lineRule="auto"/>
            </w:pPr>
            <w:r>
              <w:rPr>
                <w:sz w:val="18"/>
              </w:rPr>
              <w:t>Izdaci za jamčevne pologe</w:t>
            </w:r>
          </w:p>
        </w:tc>
        <w:tc>
          <w:tcPr>
            <w:tcW w:w="700" w:type="dxa"/>
            <w:tcMar>
              <w:top w:w="0" w:type="dxa"/>
              <w:bottom w:w="0" w:type="dxa"/>
            </w:tcMar>
            <w:vAlign w:val="center"/>
          </w:tcPr>
          <w:p w14:paraId="7B5CAA0D" w14:textId="77777777" w:rsidR="00105561" w:rsidRDefault="00000000">
            <w:pPr>
              <w:keepNext/>
              <w:keepLines/>
              <w:spacing w:after="0" w:line="240" w:lineRule="auto"/>
            </w:pPr>
            <w:r>
              <w:rPr>
                <w:sz w:val="18"/>
              </w:rPr>
              <w:t>518</w:t>
            </w:r>
          </w:p>
        </w:tc>
        <w:tc>
          <w:tcPr>
            <w:tcW w:w="1860" w:type="dxa"/>
            <w:tcMar>
              <w:top w:w="0" w:type="dxa"/>
              <w:bottom w:w="0" w:type="dxa"/>
            </w:tcMar>
            <w:vAlign w:val="center"/>
          </w:tcPr>
          <w:p w14:paraId="2CF49DA0" w14:textId="77777777" w:rsidR="00105561" w:rsidRDefault="00000000">
            <w:pPr>
              <w:keepNext/>
              <w:keepLines/>
              <w:spacing w:after="0" w:line="240" w:lineRule="auto"/>
              <w:jc w:val="right"/>
            </w:pPr>
            <w:r>
              <w:rPr>
                <w:sz w:val="18"/>
              </w:rPr>
              <w:t>0,00</w:t>
            </w:r>
          </w:p>
        </w:tc>
        <w:tc>
          <w:tcPr>
            <w:tcW w:w="1860" w:type="dxa"/>
            <w:tcMar>
              <w:top w:w="0" w:type="dxa"/>
              <w:bottom w:w="0" w:type="dxa"/>
            </w:tcMar>
            <w:vAlign w:val="center"/>
          </w:tcPr>
          <w:p w14:paraId="3F4FC1FD" w14:textId="77777777" w:rsidR="00105561" w:rsidRDefault="00000000">
            <w:pPr>
              <w:keepNext/>
              <w:keepLines/>
              <w:spacing w:after="0" w:line="240" w:lineRule="auto"/>
              <w:jc w:val="right"/>
            </w:pPr>
            <w:r>
              <w:rPr>
                <w:sz w:val="18"/>
              </w:rPr>
              <w:t>2.050,00</w:t>
            </w:r>
          </w:p>
        </w:tc>
        <w:tc>
          <w:tcPr>
            <w:tcW w:w="700" w:type="dxa"/>
            <w:tcMar>
              <w:top w:w="0" w:type="dxa"/>
              <w:bottom w:w="0" w:type="dxa"/>
            </w:tcMar>
            <w:vAlign w:val="center"/>
          </w:tcPr>
          <w:p w14:paraId="71D1EFF5" w14:textId="77777777" w:rsidR="00105561" w:rsidRDefault="00000000">
            <w:pPr>
              <w:keepNext/>
              <w:keepLines/>
              <w:spacing w:after="0" w:line="240" w:lineRule="auto"/>
              <w:jc w:val="right"/>
            </w:pPr>
            <w:r>
              <w:rPr>
                <w:sz w:val="18"/>
              </w:rPr>
              <w:t>-</w:t>
            </w:r>
          </w:p>
        </w:tc>
      </w:tr>
    </w:tbl>
    <w:p w14:paraId="07A1BB82" w14:textId="77777777" w:rsidR="00105561" w:rsidRDefault="00105561">
      <w:pPr>
        <w:spacing w:after="0"/>
      </w:pPr>
    </w:p>
    <w:p w14:paraId="62A31861" w14:textId="77777777" w:rsidR="00105561" w:rsidRDefault="00000000">
      <w:r>
        <w:t>Izdaci za jamčevne pologe odnose se na jamstva za uredno izvršenje ugovora u iznosu od 2.050,00 eura prema naručitelju izrade stručnog projekta.  </w:t>
      </w:r>
    </w:p>
    <w:p w14:paraId="25EB3D3F" w14:textId="77777777" w:rsidR="00105561" w:rsidRDefault="00105561"/>
    <w:p w14:paraId="4C9964F7" w14:textId="77777777" w:rsidR="00105561" w:rsidRDefault="00000000">
      <w:pPr>
        <w:keepNext/>
        <w:spacing w:line="240" w:lineRule="auto"/>
        <w:jc w:val="center"/>
      </w:pPr>
      <w:r>
        <w:rPr>
          <w:b/>
          <w:sz w:val="28"/>
        </w:rPr>
        <w:lastRenderedPageBreak/>
        <w:t>Bilanca</w:t>
      </w:r>
    </w:p>
    <w:p w14:paraId="33C331B8" w14:textId="77777777" w:rsidR="00105561" w:rsidRDefault="00000000">
      <w:pPr>
        <w:keepNext/>
        <w:spacing w:line="240" w:lineRule="auto"/>
        <w:jc w:val="center"/>
      </w:pPr>
      <w:r>
        <w:rPr>
          <w:sz w:val="28"/>
        </w:rPr>
        <w:t>Bilješka 41.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05561" w14:paraId="165EA64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2573F73" w14:textId="77777777" w:rsidR="00105561"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82A164A" w14:textId="77777777" w:rsidR="00105561"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1A5E3DC" w14:textId="77777777" w:rsidR="00105561"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42333A2" w14:textId="77777777" w:rsidR="00105561"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758096FB" w14:textId="77777777" w:rsidR="00105561"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612CFFD0" w14:textId="77777777" w:rsidR="00105561" w:rsidRDefault="00000000">
            <w:pPr>
              <w:keepNext/>
              <w:keepLines/>
              <w:spacing w:after="0" w:line="240" w:lineRule="auto"/>
              <w:jc w:val="center"/>
            </w:pPr>
            <w:r>
              <w:rPr>
                <w:b/>
                <w:sz w:val="18"/>
              </w:rPr>
              <w:t>Indeks (%)</w:t>
            </w:r>
          </w:p>
        </w:tc>
      </w:tr>
      <w:tr w:rsidR="00105561" w14:paraId="50BB46E6" w14:textId="77777777">
        <w:tblPrEx>
          <w:tblCellMar>
            <w:top w:w="0" w:type="dxa"/>
            <w:bottom w:w="0" w:type="dxa"/>
          </w:tblCellMar>
        </w:tblPrEx>
        <w:trPr>
          <w:cantSplit/>
          <w:trHeight w:val="560"/>
        </w:trPr>
        <w:tc>
          <w:tcPr>
            <w:tcW w:w="700" w:type="dxa"/>
            <w:tcMar>
              <w:top w:w="0" w:type="dxa"/>
              <w:bottom w:w="0" w:type="dxa"/>
            </w:tcMar>
            <w:vAlign w:val="center"/>
          </w:tcPr>
          <w:p w14:paraId="481ECCB6" w14:textId="77777777" w:rsidR="00105561" w:rsidRDefault="00000000">
            <w:pPr>
              <w:keepNext/>
              <w:keepLines/>
              <w:spacing w:after="0" w:line="240" w:lineRule="auto"/>
            </w:pPr>
            <w:r>
              <w:rPr>
                <w:sz w:val="18"/>
              </w:rPr>
              <w:t>0</w:t>
            </w:r>
          </w:p>
        </w:tc>
        <w:tc>
          <w:tcPr>
            <w:tcW w:w="3180" w:type="dxa"/>
            <w:tcMar>
              <w:top w:w="0" w:type="dxa"/>
              <w:bottom w:w="0" w:type="dxa"/>
            </w:tcMar>
            <w:vAlign w:val="center"/>
          </w:tcPr>
          <w:p w14:paraId="60A03BCE" w14:textId="77777777" w:rsidR="00105561" w:rsidRDefault="00000000">
            <w:pPr>
              <w:keepNext/>
              <w:keepLines/>
              <w:spacing w:after="0" w:line="240" w:lineRule="auto"/>
            </w:pPr>
            <w:r>
              <w:rPr>
                <w:sz w:val="18"/>
              </w:rPr>
              <w:t>Nefinancijska imovina (šifre 01+02+03+04+05+06)</w:t>
            </w:r>
          </w:p>
        </w:tc>
        <w:tc>
          <w:tcPr>
            <w:tcW w:w="700" w:type="dxa"/>
            <w:tcMar>
              <w:top w:w="0" w:type="dxa"/>
              <w:bottom w:w="0" w:type="dxa"/>
            </w:tcMar>
            <w:vAlign w:val="center"/>
          </w:tcPr>
          <w:p w14:paraId="7E2337EE" w14:textId="77777777" w:rsidR="00105561" w:rsidRDefault="00000000">
            <w:pPr>
              <w:keepNext/>
              <w:keepLines/>
              <w:spacing w:after="0" w:line="240" w:lineRule="auto"/>
            </w:pPr>
            <w:r>
              <w:rPr>
                <w:sz w:val="18"/>
              </w:rPr>
              <w:t>B002</w:t>
            </w:r>
          </w:p>
        </w:tc>
        <w:tc>
          <w:tcPr>
            <w:tcW w:w="1860" w:type="dxa"/>
            <w:tcMar>
              <w:top w:w="0" w:type="dxa"/>
              <w:bottom w:w="0" w:type="dxa"/>
            </w:tcMar>
            <w:vAlign w:val="center"/>
          </w:tcPr>
          <w:p w14:paraId="2825AD75" w14:textId="77777777" w:rsidR="00105561" w:rsidRDefault="00000000">
            <w:pPr>
              <w:keepNext/>
              <w:keepLines/>
              <w:spacing w:after="0" w:line="240" w:lineRule="auto"/>
              <w:jc w:val="right"/>
            </w:pPr>
            <w:r>
              <w:rPr>
                <w:sz w:val="18"/>
              </w:rPr>
              <w:t>2.482.674,87</w:t>
            </w:r>
          </w:p>
        </w:tc>
        <w:tc>
          <w:tcPr>
            <w:tcW w:w="1860" w:type="dxa"/>
            <w:tcMar>
              <w:top w:w="0" w:type="dxa"/>
              <w:bottom w:w="0" w:type="dxa"/>
            </w:tcMar>
            <w:vAlign w:val="center"/>
          </w:tcPr>
          <w:p w14:paraId="487C2F0E" w14:textId="77777777" w:rsidR="00105561" w:rsidRDefault="00000000">
            <w:pPr>
              <w:keepNext/>
              <w:keepLines/>
              <w:spacing w:after="0" w:line="240" w:lineRule="auto"/>
              <w:jc w:val="right"/>
            </w:pPr>
            <w:r>
              <w:rPr>
                <w:sz w:val="18"/>
              </w:rPr>
              <w:t>2.097.440,41</w:t>
            </w:r>
          </w:p>
        </w:tc>
        <w:tc>
          <w:tcPr>
            <w:tcW w:w="700" w:type="dxa"/>
            <w:tcMar>
              <w:top w:w="0" w:type="dxa"/>
              <w:bottom w:w="0" w:type="dxa"/>
            </w:tcMar>
            <w:vAlign w:val="center"/>
          </w:tcPr>
          <w:p w14:paraId="5F2605D9" w14:textId="77777777" w:rsidR="00105561" w:rsidRDefault="00000000">
            <w:pPr>
              <w:keepNext/>
              <w:keepLines/>
              <w:spacing w:after="0" w:line="240" w:lineRule="auto"/>
              <w:jc w:val="right"/>
            </w:pPr>
            <w:r>
              <w:rPr>
                <w:sz w:val="18"/>
              </w:rPr>
              <w:t>84,5</w:t>
            </w:r>
          </w:p>
        </w:tc>
      </w:tr>
    </w:tbl>
    <w:p w14:paraId="3B9BC311" w14:textId="77777777" w:rsidR="00105561" w:rsidRDefault="00105561">
      <w:pPr>
        <w:spacing w:after="0"/>
      </w:pPr>
    </w:p>
    <w:p w14:paraId="61973106" w14:textId="77777777" w:rsidR="00105561" w:rsidRDefault="00000000">
      <w:pPr>
        <w:jc w:val="both"/>
      </w:pPr>
      <w:r>
        <w:t>Vrijednost nefinancijske imovine iznosi 2.097.440,41 eura  i smanjila se za 14,5% u odnosu na prethodnu godinu kao rezultat ispravka vrijednosti imovine. Najveći utjecaj na smanjenje imovine imalo je provođenje ispravka vrijednosti knjižne građe u Knjižnici koja se do sada nije ispravljala. </w:t>
      </w:r>
    </w:p>
    <w:p w14:paraId="0040A8D2" w14:textId="77777777" w:rsidR="00105561" w:rsidRDefault="00105561"/>
    <w:p w14:paraId="4B993A82" w14:textId="77777777" w:rsidR="00105561" w:rsidRDefault="00000000">
      <w:pPr>
        <w:keepNext/>
        <w:spacing w:line="240" w:lineRule="auto"/>
        <w:jc w:val="center"/>
      </w:pPr>
      <w:r>
        <w:rPr>
          <w:sz w:val="28"/>
        </w:rPr>
        <w:t>Bilješka 42.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05561" w14:paraId="4AAFE19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0666C3D" w14:textId="77777777" w:rsidR="00105561"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4532E50" w14:textId="77777777" w:rsidR="00105561"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62477DA" w14:textId="77777777" w:rsidR="00105561"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0168FEE" w14:textId="77777777" w:rsidR="00105561"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3C9C7DF8" w14:textId="77777777" w:rsidR="00105561"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5A996B22" w14:textId="77777777" w:rsidR="00105561" w:rsidRDefault="00000000">
            <w:pPr>
              <w:keepNext/>
              <w:keepLines/>
              <w:spacing w:after="0" w:line="240" w:lineRule="auto"/>
              <w:jc w:val="center"/>
            </w:pPr>
            <w:r>
              <w:rPr>
                <w:b/>
                <w:sz w:val="18"/>
              </w:rPr>
              <w:t>Indeks (%)</w:t>
            </w:r>
          </w:p>
        </w:tc>
      </w:tr>
      <w:tr w:rsidR="00105561" w14:paraId="63D36395" w14:textId="77777777">
        <w:tblPrEx>
          <w:tblCellMar>
            <w:top w:w="0" w:type="dxa"/>
            <w:bottom w:w="0" w:type="dxa"/>
          </w:tblCellMar>
        </w:tblPrEx>
        <w:trPr>
          <w:cantSplit/>
          <w:trHeight w:val="560"/>
        </w:trPr>
        <w:tc>
          <w:tcPr>
            <w:tcW w:w="700" w:type="dxa"/>
            <w:tcMar>
              <w:top w:w="0" w:type="dxa"/>
              <w:bottom w:w="0" w:type="dxa"/>
            </w:tcMar>
            <w:vAlign w:val="center"/>
          </w:tcPr>
          <w:p w14:paraId="586E9A26" w14:textId="77777777" w:rsidR="00105561" w:rsidRDefault="00000000">
            <w:pPr>
              <w:keepNext/>
              <w:keepLines/>
              <w:spacing w:after="0" w:line="240" w:lineRule="auto"/>
            </w:pPr>
            <w:r>
              <w:rPr>
                <w:sz w:val="18"/>
              </w:rPr>
              <w:t>02924</w:t>
            </w:r>
          </w:p>
        </w:tc>
        <w:tc>
          <w:tcPr>
            <w:tcW w:w="3180" w:type="dxa"/>
            <w:tcMar>
              <w:top w:w="0" w:type="dxa"/>
              <w:bottom w:w="0" w:type="dxa"/>
            </w:tcMar>
            <w:vAlign w:val="center"/>
          </w:tcPr>
          <w:p w14:paraId="261C8F67" w14:textId="77777777" w:rsidR="00105561" w:rsidRDefault="00000000">
            <w:pPr>
              <w:keepNext/>
              <w:keepLines/>
              <w:spacing w:after="0" w:line="240" w:lineRule="auto"/>
            </w:pPr>
            <w:r>
              <w:rPr>
                <w:sz w:val="18"/>
              </w:rPr>
              <w:t>Ispravak vrijednosti knjiga, umjetničkih djela i ostalih izložbenih vrijednosti</w:t>
            </w:r>
          </w:p>
        </w:tc>
        <w:tc>
          <w:tcPr>
            <w:tcW w:w="700" w:type="dxa"/>
            <w:tcMar>
              <w:top w:w="0" w:type="dxa"/>
              <w:bottom w:w="0" w:type="dxa"/>
            </w:tcMar>
            <w:vAlign w:val="center"/>
          </w:tcPr>
          <w:p w14:paraId="30B635F7" w14:textId="77777777" w:rsidR="00105561" w:rsidRDefault="00000000">
            <w:pPr>
              <w:keepNext/>
              <w:keepLines/>
              <w:spacing w:after="0" w:line="240" w:lineRule="auto"/>
            </w:pPr>
            <w:r>
              <w:rPr>
                <w:sz w:val="18"/>
              </w:rPr>
              <w:t>02924</w:t>
            </w:r>
          </w:p>
        </w:tc>
        <w:tc>
          <w:tcPr>
            <w:tcW w:w="1860" w:type="dxa"/>
            <w:tcMar>
              <w:top w:w="0" w:type="dxa"/>
              <w:bottom w:w="0" w:type="dxa"/>
            </w:tcMar>
            <w:vAlign w:val="center"/>
          </w:tcPr>
          <w:p w14:paraId="59410C83" w14:textId="77777777" w:rsidR="00105561" w:rsidRDefault="00000000">
            <w:pPr>
              <w:keepNext/>
              <w:keepLines/>
              <w:spacing w:after="0" w:line="240" w:lineRule="auto"/>
              <w:jc w:val="right"/>
            </w:pPr>
            <w:r>
              <w:rPr>
                <w:sz w:val="18"/>
              </w:rPr>
              <w:t>6.320,00</w:t>
            </w:r>
          </w:p>
        </w:tc>
        <w:tc>
          <w:tcPr>
            <w:tcW w:w="1860" w:type="dxa"/>
            <w:tcMar>
              <w:top w:w="0" w:type="dxa"/>
              <w:bottom w:w="0" w:type="dxa"/>
            </w:tcMar>
            <w:vAlign w:val="center"/>
          </w:tcPr>
          <w:p w14:paraId="2F89D7E1" w14:textId="77777777" w:rsidR="00105561" w:rsidRDefault="00000000">
            <w:pPr>
              <w:keepNext/>
              <w:keepLines/>
              <w:spacing w:after="0" w:line="240" w:lineRule="auto"/>
              <w:jc w:val="right"/>
            </w:pPr>
            <w:r>
              <w:rPr>
                <w:sz w:val="18"/>
              </w:rPr>
              <w:t>315.118,19</w:t>
            </w:r>
          </w:p>
        </w:tc>
        <w:tc>
          <w:tcPr>
            <w:tcW w:w="700" w:type="dxa"/>
            <w:tcMar>
              <w:top w:w="0" w:type="dxa"/>
              <w:bottom w:w="0" w:type="dxa"/>
            </w:tcMar>
            <w:vAlign w:val="center"/>
          </w:tcPr>
          <w:p w14:paraId="562BA7DB" w14:textId="77777777" w:rsidR="00105561" w:rsidRDefault="00000000">
            <w:pPr>
              <w:keepNext/>
              <w:keepLines/>
              <w:spacing w:after="0" w:line="240" w:lineRule="auto"/>
              <w:jc w:val="right"/>
            </w:pPr>
            <w:r>
              <w:rPr>
                <w:sz w:val="18"/>
              </w:rPr>
              <w:t>4986,0</w:t>
            </w:r>
          </w:p>
        </w:tc>
      </w:tr>
    </w:tbl>
    <w:p w14:paraId="3FA041F7" w14:textId="77777777" w:rsidR="00105561" w:rsidRDefault="00105561">
      <w:pPr>
        <w:spacing w:after="0"/>
      </w:pPr>
    </w:p>
    <w:p w14:paraId="020F7DB8" w14:textId="77777777" w:rsidR="00105561" w:rsidRDefault="00000000">
      <w:pPr>
        <w:jc w:val="both"/>
      </w:pPr>
      <w:r>
        <w:t>Proveo se ispravak vrijednosti knjižne građe u Knjižnici koja se do sada nije ispravljala. Novim Pravilnikom o proračunskom računovodstvu i Računskom planu propisan je obvezan ispravak knjiga u knjižnicama na fakultetima koje se koriste i iznajmljuju za te namjene. Na sve knjige pojedinačne vrijednosti manje od 500,00 eura Fakultet je obavio jednokratan otpis uz obvezu pojedinačnog praćenja tijekom vijeka uporabe, a sve sukladno Odluci o postupanju s kratkotrajnom i dugotrajnom imovinom. Ukupan ispravak vrijednosti knjiga i časopisa u knjižnici iznosi 315.118,19 eura. </w:t>
      </w:r>
    </w:p>
    <w:p w14:paraId="2756BF48" w14:textId="77777777" w:rsidR="00105561" w:rsidRDefault="00105561"/>
    <w:p w14:paraId="45F4F2EB" w14:textId="77777777" w:rsidR="00105561" w:rsidRDefault="00000000">
      <w:pPr>
        <w:keepNext/>
        <w:spacing w:line="240" w:lineRule="auto"/>
        <w:jc w:val="center"/>
      </w:pPr>
      <w:r>
        <w:rPr>
          <w:sz w:val="28"/>
        </w:rPr>
        <w:t>Bilješka 43.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05561" w14:paraId="1378298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117EFF8" w14:textId="77777777" w:rsidR="00105561"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E5DEBAF" w14:textId="77777777" w:rsidR="00105561"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4279CAD" w14:textId="77777777" w:rsidR="00105561"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EB25551" w14:textId="77777777" w:rsidR="00105561"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3A7FCE4E" w14:textId="77777777" w:rsidR="00105561"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541A63EC" w14:textId="77777777" w:rsidR="00105561" w:rsidRDefault="00000000">
            <w:pPr>
              <w:keepNext/>
              <w:keepLines/>
              <w:spacing w:after="0" w:line="240" w:lineRule="auto"/>
              <w:jc w:val="center"/>
            </w:pPr>
            <w:r>
              <w:rPr>
                <w:b/>
                <w:sz w:val="18"/>
              </w:rPr>
              <w:t>Indeks (%)</w:t>
            </w:r>
          </w:p>
        </w:tc>
      </w:tr>
      <w:tr w:rsidR="00105561" w14:paraId="38911A9E" w14:textId="77777777">
        <w:tblPrEx>
          <w:tblCellMar>
            <w:top w:w="0" w:type="dxa"/>
            <w:bottom w:w="0" w:type="dxa"/>
          </w:tblCellMar>
        </w:tblPrEx>
        <w:trPr>
          <w:cantSplit/>
          <w:trHeight w:val="560"/>
        </w:trPr>
        <w:tc>
          <w:tcPr>
            <w:tcW w:w="700" w:type="dxa"/>
            <w:tcMar>
              <w:top w:w="0" w:type="dxa"/>
              <w:bottom w:w="0" w:type="dxa"/>
            </w:tcMar>
            <w:vAlign w:val="center"/>
          </w:tcPr>
          <w:p w14:paraId="03DEF7BE" w14:textId="77777777" w:rsidR="00105561" w:rsidRDefault="00000000">
            <w:pPr>
              <w:keepNext/>
              <w:keepLines/>
              <w:spacing w:after="0" w:line="240" w:lineRule="auto"/>
            </w:pPr>
            <w:r>
              <w:rPr>
                <w:sz w:val="18"/>
              </w:rPr>
              <w:t>0262</w:t>
            </w:r>
          </w:p>
        </w:tc>
        <w:tc>
          <w:tcPr>
            <w:tcW w:w="3180" w:type="dxa"/>
            <w:tcMar>
              <w:top w:w="0" w:type="dxa"/>
              <w:bottom w:w="0" w:type="dxa"/>
            </w:tcMar>
            <w:vAlign w:val="center"/>
          </w:tcPr>
          <w:p w14:paraId="1BD2EE9F" w14:textId="77777777" w:rsidR="00105561" w:rsidRDefault="00000000">
            <w:pPr>
              <w:keepNext/>
              <w:keepLines/>
              <w:spacing w:after="0" w:line="240" w:lineRule="auto"/>
            </w:pPr>
            <w:r>
              <w:rPr>
                <w:sz w:val="18"/>
              </w:rPr>
              <w:t>Ulaganja u računalne programe</w:t>
            </w:r>
          </w:p>
        </w:tc>
        <w:tc>
          <w:tcPr>
            <w:tcW w:w="700" w:type="dxa"/>
            <w:tcMar>
              <w:top w:w="0" w:type="dxa"/>
              <w:bottom w:w="0" w:type="dxa"/>
            </w:tcMar>
            <w:vAlign w:val="center"/>
          </w:tcPr>
          <w:p w14:paraId="0618FEE4" w14:textId="77777777" w:rsidR="00105561" w:rsidRDefault="00000000">
            <w:pPr>
              <w:keepNext/>
              <w:keepLines/>
              <w:spacing w:after="0" w:line="240" w:lineRule="auto"/>
            </w:pPr>
            <w:r>
              <w:rPr>
                <w:sz w:val="18"/>
              </w:rPr>
              <w:t>0262</w:t>
            </w:r>
          </w:p>
        </w:tc>
        <w:tc>
          <w:tcPr>
            <w:tcW w:w="1860" w:type="dxa"/>
            <w:tcMar>
              <w:top w:w="0" w:type="dxa"/>
              <w:bottom w:w="0" w:type="dxa"/>
            </w:tcMar>
            <w:vAlign w:val="center"/>
          </w:tcPr>
          <w:p w14:paraId="07F71BFE" w14:textId="77777777" w:rsidR="00105561" w:rsidRDefault="00000000">
            <w:pPr>
              <w:keepNext/>
              <w:keepLines/>
              <w:spacing w:after="0" w:line="240" w:lineRule="auto"/>
              <w:jc w:val="right"/>
            </w:pPr>
            <w:r>
              <w:rPr>
                <w:sz w:val="18"/>
              </w:rPr>
              <w:t>294.426,27</w:t>
            </w:r>
          </w:p>
        </w:tc>
        <w:tc>
          <w:tcPr>
            <w:tcW w:w="1860" w:type="dxa"/>
            <w:tcMar>
              <w:top w:w="0" w:type="dxa"/>
              <w:bottom w:w="0" w:type="dxa"/>
            </w:tcMar>
            <w:vAlign w:val="center"/>
          </w:tcPr>
          <w:p w14:paraId="2DF9845D" w14:textId="77777777" w:rsidR="00105561" w:rsidRDefault="00000000">
            <w:pPr>
              <w:keepNext/>
              <w:keepLines/>
              <w:spacing w:after="0" w:line="240" w:lineRule="auto"/>
              <w:jc w:val="right"/>
            </w:pPr>
            <w:r>
              <w:rPr>
                <w:sz w:val="18"/>
              </w:rPr>
              <w:t>411.613,77</w:t>
            </w:r>
          </w:p>
        </w:tc>
        <w:tc>
          <w:tcPr>
            <w:tcW w:w="700" w:type="dxa"/>
            <w:tcMar>
              <w:top w:w="0" w:type="dxa"/>
              <w:bottom w:w="0" w:type="dxa"/>
            </w:tcMar>
            <w:vAlign w:val="center"/>
          </w:tcPr>
          <w:p w14:paraId="5857BA40" w14:textId="77777777" w:rsidR="00105561" w:rsidRDefault="00000000">
            <w:pPr>
              <w:keepNext/>
              <w:keepLines/>
              <w:spacing w:after="0" w:line="240" w:lineRule="auto"/>
              <w:jc w:val="right"/>
            </w:pPr>
            <w:r>
              <w:rPr>
                <w:sz w:val="18"/>
              </w:rPr>
              <w:t>139,8</w:t>
            </w:r>
          </w:p>
        </w:tc>
      </w:tr>
    </w:tbl>
    <w:p w14:paraId="31B6F26C" w14:textId="77777777" w:rsidR="00105561" w:rsidRDefault="00105561">
      <w:pPr>
        <w:spacing w:after="0"/>
      </w:pPr>
    </w:p>
    <w:p w14:paraId="527ED69A" w14:textId="77777777" w:rsidR="00105561" w:rsidRDefault="00000000">
      <w:r>
        <w:t>Na povećanje je utjecala nabava softvera za nadogradnju simulatora financirana iz sredstava državnog proračuna u ukupnom iznosu 188.090,00 eura. </w:t>
      </w:r>
    </w:p>
    <w:p w14:paraId="66FBA2B7" w14:textId="77777777" w:rsidR="00105561" w:rsidRDefault="00105561"/>
    <w:p w14:paraId="5E9E3F57" w14:textId="77777777" w:rsidR="00105561" w:rsidRDefault="00000000">
      <w:pPr>
        <w:keepNext/>
        <w:spacing w:line="240" w:lineRule="auto"/>
        <w:jc w:val="center"/>
      </w:pPr>
      <w:r>
        <w:rPr>
          <w:sz w:val="28"/>
        </w:rPr>
        <w:lastRenderedPageBreak/>
        <w:t>Bilješka 44.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05561" w14:paraId="2128EFD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7F0C5EB" w14:textId="77777777" w:rsidR="00105561"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AE5B5FD" w14:textId="77777777" w:rsidR="00105561"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983A13A" w14:textId="77777777" w:rsidR="00105561"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9CCDA5B" w14:textId="77777777" w:rsidR="00105561"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62E195F2" w14:textId="77777777" w:rsidR="00105561"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03424A4C" w14:textId="77777777" w:rsidR="00105561" w:rsidRDefault="00000000">
            <w:pPr>
              <w:keepNext/>
              <w:keepLines/>
              <w:spacing w:after="0" w:line="240" w:lineRule="auto"/>
              <w:jc w:val="center"/>
            </w:pPr>
            <w:r>
              <w:rPr>
                <w:b/>
                <w:sz w:val="18"/>
              </w:rPr>
              <w:t>Indeks (%)</w:t>
            </w:r>
          </w:p>
        </w:tc>
      </w:tr>
      <w:tr w:rsidR="00105561" w14:paraId="0A4A4CB1" w14:textId="77777777">
        <w:tblPrEx>
          <w:tblCellMar>
            <w:top w:w="0" w:type="dxa"/>
            <w:bottom w:w="0" w:type="dxa"/>
          </w:tblCellMar>
        </w:tblPrEx>
        <w:trPr>
          <w:cantSplit/>
          <w:trHeight w:val="560"/>
        </w:trPr>
        <w:tc>
          <w:tcPr>
            <w:tcW w:w="700" w:type="dxa"/>
            <w:tcMar>
              <w:top w:w="0" w:type="dxa"/>
              <w:bottom w:w="0" w:type="dxa"/>
            </w:tcMar>
            <w:vAlign w:val="center"/>
          </w:tcPr>
          <w:p w14:paraId="3A870293" w14:textId="77777777" w:rsidR="00105561" w:rsidRDefault="00000000">
            <w:pPr>
              <w:keepNext/>
              <w:keepLines/>
              <w:spacing w:after="0" w:line="240" w:lineRule="auto"/>
            </w:pPr>
            <w:r>
              <w:rPr>
                <w:sz w:val="18"/>
              </w:rPr>
              <w:t>129</w:t>
            </w:r>
          </w:p>
        </w:tc>
        <w:tc>
          <w:tcPr>
            <w:tcW w:w="3180" w:type="dxa"/>
            <w:tcMar>
              <w:top w:w="0" w:type="dxa"/>
              <w:bottom w:w="0" w:type="dxa"/>
            </w:tcMar>
            <w:vAlign w:val="center"/>
          </w:tcPr>
          <w:p w14:paraId="687A9399" w14:textId="77777777" w:rsidR="00105561" w:rsidRDefault="00000000">
            <w:pPr>
              <w:keepNext/>
              <w:keepLines/>
              <w:spacing w:after="0" w:line="240" w:lineRule="auto"/>
            </w:pPr>
            <w:r>
              <w:rPr>
                <w:sz w:val="18"/>
              </w:rPr>
              <w:t>Ostala potraživanja</w:t>
            </w:r>
          </w:p>
        </w:tc>
        <w:tc>
          <w:tcPr>
            <w:tcW w:w="700" w:type="dxa"/>
            <w:tcMar>
              <w:top w:w="0" w:type="dxa"/>
              <w:bottom w:w="0" w:type="dxa"/>
            </w:tcMar>
            <w:vAlign w:val="center"/>
          </w:tcPr>
          <w:p w14:paraId="417D3863" w14:textId="77777777" w:rsidR="00105561" w:rsidRDefault="00000000">
            <w:pPr>
              <w:keepNext/>
              <w:keepLines/>
              <w:spacing w:after="0" w:line="240" w:lineRule="auto"/>
            </w:pPr>
            <w:r>
              <w:rPr>
                <w:sz w:val="18"/>
              </w:rPr>
              <w:t>129</w:t>
            </w:r>
          </w:p>
        </w:tc>
        <w:tc>
          <w:tcPr>
            <w:tcW w:w="1860" w:type="dxa"/>
            <w:tcMar>
              <w:top w:w="0" w:type="dxa"/>
              <w:bottom w:w="0" w:type="dxa"/>
            </w:tcMar>
            <w:vAlign w:val="center"/>
          </w:tcPr>
          <w:p w14:paraId="7BE905B4" w14:textId="77777777" w:rsidR="00105561" w:rsidRDefault="00000000">
            <w:pPr>
              <w:keepNext/>
              <w:keepLines/>
              <w:spacing w:after="0" w:line="240" w:lineRule="auto"/>
              <w:jc w:val="right"/>
            </w:pPr>
            <w:r>
              <w:rPr>
                <w:sz w:val="18"/>
              </w:rPr>
              <w:t>679,43</w:t>
            </w:r>
          </w:p>
        </w:tc>
        <w:tc>
          <w:tcPr>
            <w:tcW w:w="1860" w:type="dxa"/>
            <w:tcMar>
              <w:top w:w="0" w:type="dxa"/>
              <w:bottom w:w="0" w:type="dxa"/>
            </w:tcMar>
            <w:vAlign w:val="center"/>
          </w:tcPr>
          <w:p w14:paraId="358CBF21" w14:textId="77777777" w:rsidR="00105561" w:rsidRDefault="00000000">
            <w:pPr>
              <w:keepNext/>
              <w:keepLines/>
              <w:spacing w:after="0" w:line="240" w:lineRule="auto"/>
              <w:jc w:val="right"/>
            </w:pPr>
            <w:r>
              <w:rPr>
                <w:sz w:val="18"/>
              </w:rPr>
              <w:t>1.621,84</w:t>
            </w:r>
          </w:p>
        </w:tc>
        <w:tc>
          <w:tcPr>
            <w:tcW w:w="700" w:type="dxa"/>
            <w:tcMar>
              <w:top w:w="0" w:type="dxa"/>
              <w:bottom w:w="0" w:type="dxa"/>
            </w:tcMar>
            <w:vAlign w:val="center"/>
          </w:tcPr>
          <w:p w14:paraId="738D2ED3" w14:textId="77777777" w:rsidR="00105561" w:rsidRDefault="00000000">
            <w:pPr>
              <w:keepNext/>
              <w:keepLines/>
              <w:spacing w:after="0" w:line="240" w:lineRule="auto"/>
              <w:jc w:val="right"/>
            </w:pPr>
            <w:r>
              <w:rPr>
                <w:sz w:val="18"/>
              </w:rPr>
              <w:t>238,7</w:t>
            </w:r>
          </w:p>
        </w:tc>
      </w:tr>
    </w:tbl>
    <w:p w14:paraId="5F6CD57A" w14:textId="77777777" w:rsidR="00105561" w:rsidRDefault="00105561">
      <w:pPr>
        <w:spacing w:after="0"/>
      </w:pPr>
    </w:p>
    <w:p w14:paraId="6D46857B" w14:textId="77777777" w:rsidR="00105561" w:rsidRDefault="00000000">
      <w:pPr>
        <w:jc w:val="both"/>
      </w:pPr>
      <w:r>
        <w:t>Ostala potraživanja u iznosu od 1.621,84 eura odnose se na potraživanja za predujmove i potraživanja za naknade za bolovanje i potraživanja za plaćanje karticama. </w:t>
      </w:r>
    </w:p>
    <w:p w14:paraId="457BA98F" w14:textId="77777777" w:rsidR="00105561" w:rsidRDefault="00105561"/>
    <w:p w14:paraId="34249FC0" w14:textId="77777777" w:rsidR="00105561" w:rsidRDefault="00000000">
      <w:pPr>
        <w:keepNext/>
        <w:spacing w:line="240" w:lineRule="auto"/>
        <w:jc w:val="center"/>
      </w:pPr>
      <w:r>
        <w:rPr>
          <w:sz w:val="28"/>
        </w:rPr>
        <w:t>Bilješka 45.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05561" w14:paraId="333DFEB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C11698E" w14:textId="77777777" w:rsidR="00105561"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30B6080" w14:textId="77777777" w:rsidR="00105561"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681E857" w14:textId="77777777" w:rsidR="00105561"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0BB2347" w14:textId="77777777" w:rsidR="00105561"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06453430" w14:textId="77777777" w:rsidR="00105561"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27EFBD4D" w14:textId="77777777" w:rsidR="00105561" w:rsidRDefault="00000000">
            <w:pPr>
              <w:keepNext/>
              <w:keepLines/>
              <w:spacing w:after="0" w:line="240" w:lineRule="auto"/>
              <w:jc w:val="center"/>
            </w:pPr>
            <w:r>
              <w:rPr>
                <w:b/>
                <w:sz w:val="18"/>
              </w:rPr>
              <w:t>Indeks (%)</w:t>
            </w:r>
          </w:p>
        </w:tc>
      </w:tr>
      <w:tr w:rsidR="00105561" w14:paraId="5319444B" w14:textId="77777777">
        <w:tblPrEx>
          <w:tblCellMar>
            <w:top w:w="0" w:type="dxa"/>
            <w:bottom w:w="0" w:type="dxa"/>
          </w:tblCellMar>
        </w:tblPrEx>
        <w:trPr>
          <w:cantSplit/>
          <w:trHeight w:val="560"/>
        </w:trPr>
        <w:tc>
          <w:tcPr>
            <w:tcW w:w="700" w:type="dxa"/>
            <w:tcMar>
              <w:top w:w="0" w:type="dxa"/>
              <w:bottom w:w="0" w:type="dxa"/>
            </w:tcMar>
            <w:vAlign w:val="center"/>
          </w:tcPr>
          <w:p w14:paraId="6C61F18C" w14:textId="77777777" w:rsidR="00105561" w:rsidRDefault="00000000">
            <w:pPr>
              <w:keepNext/>
              <w:keepLines/>
              <w:spacing w:after="0" w:line="240" w:lineRule="auto"/>
            </w:pPr>
            <w:r>
              <w:rPr>
                <w:sz w:val="18"/>
              </w:rPr>
              <w:t>1521</w:t>
            </w:r>
          </w:p>
        </w:tc>
        <w:tc>
          <w:tcPr>
            <w:tcW w:w="3180" w:type="dxa"/>
            <w:tcMar>
              <w:top w:w="0" w:type="dxa"/>
              <w:bottom w:w="0" w:type="dxa"/>
            </w:tcMar>
            <w:vAlign w:val="center"/>
          </w:tcPr>
          <w:p w14:paraId="047C68BF" w14:textId="77777777" w:rsidR="00105561" w:rsidRDefault="00000000">
            <w:pPr>
              <w:keepNext/>
              <w:keepLines/>
              <w:spacing w:after="0" w:line="240" w:lineRule="auto"/>
            </w:pPr>
            <w:r>
              <w:rPr>
                <w:sz w:val="18"/>
              </w:rPr>
              <w:t>Dionice i udjeli u glavnici trgovačkih društava u javnom sektoru</w:t>
            </w:r>
          </w:p>
        </w:tc>
        <w:tc>
          <w:tcPr>
            <w:tcW w:w="700" w:type="dxa"/>
            <w:tcMar>
              <w:top w:w="0" w:type="dxa"/>
              <w:bottom w:w="0" w:type="dxa"/>
            </w:tcMar>
            <w:vAlign w:val="center"/>
          </w:tcPr>
          <w:p w14:paraId="33CB159E" w14:textId="77777777" w:rsidR="00105561" w:rsidRDefault="00000000">
            <w:pPr>
              <w:keepNext/>
              <w:keepLines/>
              <w:spacing w:after="0" w:line="240" w:lineRule="auto"/>
            </w:pPr>
            <w:r>
              <w:rPr>
                <w:sz w:val="18"/>
              </w:rPr>
              <w:t>1521</w:t>
            </w:r>
          </w:p>
        </w:tc>
        <w:tc>
          <w:tcPr>
            <w:tcW w:w="1860" w:type="dxa"/>
            <w:tcMar>
              <w:top w:w="0" w:type="dxa"/>
              <w:bottom w:w="0" w:type="dxa"/>
            </w:tcMar>
            <w:vAlign w:val="center"/>
          </w:tcPr>
          <w:p w14:paraId="11092B03" w14:textId="77777777" w:rsidR="00105561" w:rsidRDefault="00000000">
            <w:pPr>
              <w:keepNext/>
              <w:keepLines/>
              <w:spacing w:after="0" w:line="240" w:lineRule="auto"/>
              <w:jc w:val="right"/>
            </w:pPr>
            <w:r>
              <w:rPr>
                <w:sz w:val="18"/>
              </w:rPr>
              <w:t>15.000,00</w:t>
            </w:r>
          </w:p>
        </w:tc>
        <w:tc>
          <w:tcPr>
            <w:tcW w:w="1860" w:type="dxa"/>
            <w:tcMar>
              <w:top w:w="0" w:type="dxa"/>
              <w:bottom w:w="0" w:type="dxa"/>
            </w:tcMar>
            <w:vAlign w:val="center"/>
          </w:tcPr>
          <w:p w14:paraId="27C3D90C" w14:textId="77777777" w:rsidR="00105561" w:rsidRDefault="00000000">
            <w:pPr>
              <w:keepNext/>
              <w:keepLines/>
              <w:spacing w:after="0" w:line="240" w:lineRule="auto"/>
              <w:jc w:val="right"/>
            </w:pPr>
            <w:r>
              <w:rPr>
                <w:sz w:val="18"/>
              </w:rPr>
              <w:t>15.000,00</w:t>
            </w:r>
          </w:p>
        </w:tc>
        <w:tc>
          <w:tcPr>
            <w:tcW w:w="700" w:type="dxa"/>
            <w:tcMar>
              <w:top w:w="0" w:type="dxa"/>
              <w:bottom w:w="0" w:type="dxa"/>
            </w:tcMar>
            <w:vAlign w:val="center"/>
          </w:tcPr>
          <w:p w14:paraId="1F6A7BBA" w14:textId="77777777" w:rsidR="00105561" w:rsidRDefault="00000000">
            <w:pPr>
              <w:keepNext/>
              <w:keepLines/>
              <w:spacing w:after="0" w:line="240" w:lineRule="auto"/>
              <w:jc w:val="right"/>
            </w:pPr>
            <w:r>
              <w:rPr>
                <w:sz w:val="18"/>
              </w:rPr>
              <w:t>100</w:t>
            </w:r>
          </w:p>
        </w:tc>
      </w:tr>
    </w:tbl>
    <w:p w14:paraId="0B5DD428" w14:textId="77777777" w:rsidR="00105561" w:rsidRDefault="00105561">
      <w:pPr>
        <w:spacing w:after="0"/>
      </w:pPr>
    </w:p>
    <w:p w14:paraId="29A0AD04" w14:textId="77777777" w:rsidR="00105561" w:rsidRDefault="00000000">
      <w:pPr>
        <w:jc w:val="both"/>
      </w:pPr>
      <w:r>
        <w:t>Dionice i udjeli u glavnici trgovačkih društava u javnom sektoru u iznosu od 15.000,00 eura odnose se na osnivački kapital u tvrtki MariPoint d.o.o. u 100% vlasništvu Fakulteta osnovanoj u prvoj polovici 2023. godine za praćenje i analizu raspisanih poziva za financiranje projekata, savjetodavnu potporu u pripremi i provedbi projekata financiranih od strane EU te ostale slične poslove.   </w:t>
      </w:r>
    </w:p>
    <w:p w14:paraId="141A4BEC" w14:textId="77777777" w:rsidR="00105561" w:rsidRDefault="00105561"/>
    <w:p w14:paraId="4FDF4B90" w14:textId="77777777" w:rsidR="00105561" w:rsidRDefault="00000000">
      <w:pPr>
        <w:keepNext/>
        <w:spacing w:line="240" w:lineRule="auto"/>
        <w:jc w:val="center"/>
      </w:pPr>
      <w:r>
        <w:rPr>
          <w:sz w:val="28"/>
        </w:rPr>
        <w:t>Bilješka 46.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05561" w14:paraId="64368AA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462C14F" w14:textId="77777777" w:rsidR="00105561"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B9EC00E" w14:textId="77777777" w:rsidR="00105561"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43A9016" w14:textId="77777777" w:rsidR="00105561"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5B65BE8" w14:textId="77777777" w:rsidR="00105561"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7FF0AACB" w14:textId="77777777" w:rsidR="00105561"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4ED533F1" w14:textId="77777777" w:rsidR="00105561" w:rsidRDefault="00000000">
            <w:pPr>
              <w:keepNext/>
              <w:keepLines/>
              <w:spacing w:after="0" w:line="240" w:lineRule="auto"/>
              <w:jc w:val="center"/>
            </w:pPr>
            <w:r>
              <w:rPr>
                <w:b/>
                <w:sz w:val="18"/>
              </w:rPr>
              <w:t>Indeks (%)</w:t>
            </w:r>
          </w:p>
        </w:tc>
      </w:tr>
      <w:tr w:rsidR="00105561" w14:paraId="2F79EEBE" w14:textId="77777777">
        <w:tblPrEx>
          <w:tblCellMar>
            <w:top w:w="0" w:type="dxa"/>
            <w:bottom w:w="0" w:type="dxa"/>
          </w:tblCellMar>
        </w:tblPrEx>
        <w:trPr>
          <w:cantSplit/>
          <w:trHeight w:val="560"/>
        </w:trPr>
        <w:tc>
          <w:tcPr>
            <w:tcW w:w="700" w:type="dxa"/>
            <w:tcMar>
              <w:top w:w="0" w:type="dxa"/>
              <w:bottom w:w="0" w:type="dxa"/>
            </w:tcMar>
            <w:vAlign w:val="center"/>
          </w:tcPr>
          <w:p w14:paraId="1B72FECB" w14:textId="77777777" w:rsidR="00105561" w:rsidRDefault="00000000">
            <w:pPr>
              <w:keepNext/>
              <w:keepLines/>
              <w:spacing w:after="0" w:line="240" w:lineRule="auto"/>
            </w:pPr>
            <w:r>
              <w:rPr>
                <w:sz w:val="18"/>
              </w:rPr>
              <w:t>1631</w:t>
            </w:r>
          </w:p>
        </w:tc>
        <w:tc>
          <w:tcPr>
            <w:tcW w:w="3180" w:type="dxa"/>
            <w:tcMar>
              <w:top w:w="0" w:type="dxa"/>
              <w:bottom w:w="0" w:type="dxa"/>
            </w:tcMar>
            <w:vAlign w:val="center"/>
          </w:tcPr>
          <w:p w14:paraId="25A57376" w14:textId="77777777" w:rsidR="00105561" w:rsidRDefault="00000000">
            <w:pPr>
              <w:keepNext/>
              <w:keepLines/>
              <w:spacing w:after="0" w:line="240" w:lineRule="auto"/>
            </w:pPr>
            <w:r>
              <w:rPr>
                <w:sz w:val="18"/>
              </w:rPr>
              <w:t>Potraživanja za pomoći od inozemnih vlada</w:t>
            </w:r>
          </w:p>
        </w:tc>
        <w:tc>
          <w:tcPr>
            <w:tcW w:w="700" w:type="dxa"/>
            <w:tcMar>
              <w:top w:w="0" w:type="dxa"/>
              <w:bottom w:w="0" w:type="dxa"/>
            </w:tcMar>
            <w:vAlign w:val="center"/>
          </w:tcPr>
          <w:p w14:paraId="574B34CE" w14:textId="77777777" w:rsidR="00105561" w:rsidRDefault="00000000">
            <w:pPr>
              <w:keepNext/>
              <w:keepLines/>
              <w:spacing w:after="0" w:line="240" w:lineRule="auto"/>
            </w:pPr>
            <w:r>
              <w:rPr>
                <w:sz w:val="18"/>
              </w:rPr>
              <w:t>1631</w:t>
            </w:r>
          </w:p>
        </w:tc>
        <w:tc>
          <w:tcPr>
            <w:tcW w:w="1860" w:type="dxa"/>
            <w:tcMar>
              <w:top w:w="0" w:type="dxa"/>
              <w:bottom w:w="0" w:type="dxa"/>
            </w:tcMar>
            <w:vAlign w:val="center"/>
          </w:tcPr>
          <w:p w14:paraId="7B35B2DA" w14:textId="77777777" w:rsidR="00105561" w:rsidRDefault="00000000">
            <w:pPr>
              <w:keepNext/>
              <w:keepLines/>
              <w:spacing w:after="0" w:line="240" w:lineRule="auto"/>
              <w:jc w:val="right"/>
            </w:pPr>
            <w:r>
              <w:rPr>
                <w:sz w:val="18"/>
              </w:rPr>
              <w:t>0,00</w:t>
            </w:r>
          </w:p>
        </w:tc>
        <w:tc>
          <w:tcPr>
            <w:tcW w:w="1860" w:type="dxa"/>
            <w:tcMar>
              <w:top w:w="0" w:type="dxa"/>
              <w:bottom w:w="0" w:type="dxa"/>
            </w:tcMar>
            <w:vAlign w:val="center"/>
          </w:tcPr>
          <w:p w14:paraId="561B443D" w14:textId="77777777" w:rsidR="00105561" w:rsidRDefault="00000000">
            <w:pPr>
              <w:keepNext/>
              <w:keepLines/>
              <w:spacing w:after="0" w:line="240" w:lineRule="auto"/>
              <w:jc w:val="right"/>
            </w:pPr>
            <w:r>
              <w:rPr>
                <w:sz w:val="18"/>
              </w:rPr>
              <w:t>79.717,90</w:t>
            </w:r>
          </w:p>
        </w:tc>
        <w:tc>
          <w:tcPr>
            <w:tcW w:w="700" w:type="dxa"/>
            <w:tcMar>
              <w:top w:w="0" w:type="dxa"/>
              <w:bottom w:w="0" w:type="dxa"/>
            </w:tcMar>
            <w:vAlign w:val="center"/>
          </w:tcPr>
          <w:p w14:paraId="6F15B97D" w14:textId="77777777" w:rsidR="00105561" w:rsidRDefault="00000000">
            <w:pPr>
              <w:keepNext/>
              <w:keepLines/>
              <w:spacing w:after="0" w:line="240" w:lineRule="auto"/>
              <w:jc w:val="right"/>
            </w:pPr>
            <w:r>
              <w:rPr>
                <w:sz w:val="18"/>
              </w:rPr>
              <w:t>-</w:t>
            </w:r>
          </w:p>
        </w:tc>
      </w:tr>
    </w:tbl>
    <w:p w14:paraId="73C8AC16" w14:textId="77777777" w:rsidR="00105561" w:rsidRDefault="00105561">
      <w:pPr>
        <w:spacing w:after="0"/>
      </w:pPr>
    </w:p>
    <w:p w14:paraId="747EC99E" w14:textId="77777777" w:rsidR="00105561" w:rsidRDefault="00000000">
      <w:pPr>
        <w:jc w:val="both"/>
      </w:pPr>
      <w:r>
        <w:t>Potraživanja za pomoći od inozemnih vlada odnosi se na podnesene zahtjeve za nadoknadu sredstava za dva EU Interreg projekta Fred i Best4.0 (upravljačko tijelo u inozemstvu) u ukupnom iznosu od 79.717,90 eura. Sredstva stižu od partnera-nositelja projekta iz inozemstva.</w:t>
      </w:r>
    </w:p>
    <w:p w14:paraId="3F099587" w14:textId="77777777" w:rsidR="00105561" w:rsidRDefault="00000000">
      <w:pPr>
        <w:jc w:val="both"/>
      </w:pPr>
      <w:r>
        <w:t> </w:t>
      </w:r>
    </w:p>
    <w:p w14:paraId="6DBA41DE" w14:textId="77777777" w:rsidR="00105561" w:rsidRDefault="00105561"/>
    <w:p w14:paraId="1D7DDC15" w14:textId="77777777" w:rsidR="00105561" w:rsidRDefault="00000000">
      <w:pPr>
        <w:keepNext/>
        <w:spacing w:line="240" w:lineRule="auto"/>
        <w:jc w:val="center"/>
      </w:pPr>
      <w:r>
        <w:rPr>
          <w:sz w:val="28"/>
        </w:rPr>
        <w:lastRenderedPageBreak/>
        <w:t>Bilješka 47.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05561" w14:paraId="4BEEAA9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070E3FB" w14:textId="77777777" w:rsidR="00105561"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5E6B934" w14:textId="77777777" w:rsidR="00105561"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F5BA906" w14:textId="77777777" w:rsidR="00105561"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A704C29" w14:textId="77777777" w:rsidR="00105561"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4126C0F2" w14:textId="77777777" w:rsidR="00105561"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06C4EE17" w14:textId="77777777" w:rsidR="00105561" w:rsidRDefault="00000000">
            <w:pPr>
              <w:keepNext/>
              <w:keepLines/>
              <w:spacing w:after="0" w:line="240" w:lineRule="auto"/>
              <w:jc w:val="center"/>
            </w:pPr>
            <w:r>
              <w:rPr>
                <w:b/>
                <w:sz w:val="18"/>
              </w:rPr>
              <w:t>Indeks (%)</w:t>
            </w:r>
          </w:p>
        </w:tc>
      </w:tr>
      <w:tr w:rsidR="00105561" w14:paraId="0129C2BC" w14:textId="77777777">
        <w:tblPrEx>
          <w:tblCellMar>
            <w:top w:w="0" w:type="dxa"/>
            <w:bottom w:w="0" w:type="dxa"/>
          </w:tblCellMar>
        </w:tblPrEx>
        <w:trPr>
          <w:cantSplit/>
          <w:trHeight w:val="560"/>
        </w:trPr>
        <w:tc>
          <w:tcPr>
            <w:tcW w:w="700" w:type="dxa"/>
            <w:tcMar>
              <w:top w:w="0" w:type="dxa"/>
              <w:bottom w:w="0" w:type="dxa"/>
            </w:tcMar>
            <w:vAlign w:val="center"/>
          </w:tcPr>
          <w:p w14:paraId="1E135293" w14:textId="77777777" w:rsidR="00105561" w:rsidRDefault="00000000">
            <w:pPr>
              <w:keepNext/>
              <w:keepLines/>
              <w:spacing w:after="0" w:line="240" w:lineRule="auto"/>
            </w:pPr>
            <w:r>
              <w:rPr>
                <w:sz w:val="18"/>
              </w:rPr>
              <w:t>165</w:t>
            </w:r>
          </w:p>
        </w:tc>
        <w:tc>
          <w:tcPr>
            <w:tcW w:w="3180" w:type="dxa"/>
            <w:tcMar>
              <w:top w:w="0" w:type="dxa"/>
              <w:bottom w:w="0" w:type="dxa"/>
            </w:tcMar>
            <w:vAlign w:val="center"/>
          </w:tcPr>
          <w:p w14:paraId="6653A492" w14:textId="77777777" w:rsidR="00105561" w:rsidRDefault="00000000">
            <w:pPr>
              <w:keepNext/>
              <w:keepLines/>
              <w:spacing w:after="0" w:line="240" w:lineRule="auto"/>
            </w:pPr>
            <w:r>
              <w:rPr>
                <w:sz w:val="18"/>
              </w:rPr>
              <w:t>Potraživanja za upravne i administrativne pristojbe, pristojbe po posebnim propisima i naknade</w:t>
            </w:r>
          </w:p>
        </w:tc>
        <w:tc>
          <w:tcPr>
            <w:tcW w:w="700" w:type="dxa"/>
            <w:tcMar>
              <w:top w:w="0" w:type="dxa"/>
              <w:bottom w:w="0" w:type="dxa"/>
            </w:tcMar>
            <w:vAlign w:val="center"/>
          </w:tcPr>
          <w:p w14:paraId="31DD66B5" w14:textId="77777777" w:rsidR="00105561" w:rsidRDefault="00000000">
            <w:pPr>
              <w:keepNext/>
              <w:keepLines/>
              <w:spacing w:after="0" w:line="240" w:lineRule="auto"/>
            </w:pPr>
            <w:r>
              <w:rPr>
                <w:sz w:val="18"/>
              </w:rPr>
              <w:t>165</w:t>
            </w:r>
          </w:p>
        </w:tc>
        <w:tc>
          <w:tcPr>
            <w:tcW w:w="1860" w:type="dxa"/>
            <w:tcMar>
              <w:top w:w="0" w:type="dxa"/>
              <w:bottom w:w="0" w:type="dxa"/>
            </w:tcMar>
            <w:vAlign w:val="center"/>
          </w:tcPr>
          <w:p w14:paraId="15B9F64A" w14:textId="77777777" w:rsidR="00105561" w:rsidRDefault="00000000">
            <w:pPr>
              <w:keepNext/>
              <w:keepLines/>
              <w:spacing w:after="0" w:line="240" w:lineRule="auto"/>
              <w:jc w:val="right"/>
            </w:pPr>
            <w:r>
              <w:rPr>
                <w:sz w:val="18"/>
              </w:rPr>
              <w:t>4.637,26</w:t>
            </w:r>
          </w:p>
        </w:tc>
        <w:tc>
          <w:tcPr>
            <w:tcW w:w="1860" w:type="dxa"/>
            <w:tcMar>
              <w:top w:w="0" w:type="dxa"/>
              <w:bottom w:w="0" w:type="dxa"/>
            </w:tcMar>
            <w:vAlign w:val="center"/>
          </w:tcPr>
          <w:p w14:paraId="1A2A21C4" w14:textId="77777777" w:rsidR="00105561" w:rsidRDefault="00000000">
            <w:pPr>
              <w:keepNext/>
              <w:keepLines/>
              <w:spacing w:after="0" w:line="240" w:lineRule="auto"/>
              <w:jc w:val="right"/>
            </w:pPr>
            <w:r>
              <w:rPr>
                <w:sz w:val="18"/>
              </w:rPr>
              <w:t>667,25</w:t>
            </w:r>
          </w:p>
        </w:tc>
        <w:tc>
          <w:tcPr>
            <w:tcW w:w="700" w:type="dxa"/>
            <w:tcMar>
              <w:top w:w="0" w:type="dxa"/>
              <w:bottom w:w="0" w:type="dxa"/>
            </w:tcMar>
            <w:vAlign w:val="center"/>
          </w:tcPr>
          <w:p w14:paraId="5D5E2E79" w14:textId="77777777" w:rsidR="00105561" w:rsidRDefault="00000000">
            <w:pPr>
              <w:keepNext/>
              <w:keepLines/>
              <w:spacing w:after="0" w:line="240" w:lineRule="auto"/>
              <w:jc w:val="right"/>
            </w:pPr>
            <w:r>
              <w:rPr>
                <w:sz w:val="18"/>
              </w:rPr>
              <w:t>14,4</w:t>
            </w:r>
          </w:p>
        </w:tc>
      </w:tr>
    </w:tbl>
    <w:p w14:paraId="3A20538E" w14:textId="77777777" w:rsidR="00105561" w:rsidRDefault="00105561">
      <w:pPr>
        <w:spacing w:after="0"/>
      </w:pPr>
    </w:p>
    <w:p w14:paraId="05323D57" w14:textId="77777777" w:rsidR="00105561" w:rsidRDefault="00000000">
      <w:r>
        <w:t>Potraživanje se odnosi na posljednju ratu za završni semestar polaznika doktorskog studija Pomorstvo.</w:t>
      </w:r>
    </w:p>
    <w:p w14:paraId="7367EDDF" w14:textId="77777777" w:rsidR="00105561" w:rsidRDefault="00105561"/>
    <w:p w14:paraId="751D77D9" w14:textId="77777777" w:rsidR="00105561" w:rsidRDefault="00000000">
      <w:pPr>
        <w:keepNext/>
        <w:spacing w:line="240" w:lineRule="auto"/>
        <w:jc w:val="center"/>
      </w:pPr>
      <w:r>
        <w:rPr>
          <w:sz w:val="28"/>
        </w:rPr>
        <w:t>Bilješka 48.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05561" w14:paraId="4764B7B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68BB925" w14:textId="77777777" w:rsidR="00105561"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94A76EA" w14:textId="77777777" w:rsidR="00105561"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8C0CADE" w14:textId="77777777" w:rsidR="00105561"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7339B04" w14:textId="77777777" w:rsidR="00105561"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31CE9F60" w14:textId="77777777" w:rsidR="00105561"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5EC5052F" w14:textId="77777777" w:rsidR="00105561" w:rsidRDefault="00000000">
            <w:pPr>
              <w:keepNext/>
              <w:keepLines/>
              <w:spacing w:after="0" w:line="240" w:lineRule="auto"/>
              <w:jc w:val="center"/>
            </w:pPr>
            <w:r>
              <w:rPr>
                <w:b/>
                <w:sz w:val="18"/>
              </w:rPr>
              <w:t>Indeks (%)</w:t>
            </w:r>
          </w:p>
        </w:tc>
      </w:tr>
      <w:tr w:rsidR="00105561" w14:paraId="486F5D20" w14:textId="77777777">
        <w:tblPrEx>
          <w:tblCellMar>
            <w:top w:w="0" w:type="dxa"/>
            <w:bottom w:w="0" w:type="dxa"/>
          </w:tblCellMar>
        </w:tblPrEx>
        <w:trPr>
          <w:cantSplit/>
          <w:trHeight w:val="560"/>
        </w:trPr>
        <w:tc>
          <w:tcPr>
            <w:tcW w:w="700" w:type="dxa"/>
            <w:tcMar>
              <w:top w:w="0" w:type="dxa"/>
              <w:bottom w:w="0" w:type="dxa"/>
            </w:tcMar>
            <w:vAlign w:val="center"/>
          </w:tcPr>
          <w:p w14:paraId="7DE8A093" w14:textId="77777777" w:rsidR="00105561" w:rsidRDefault="00000000">
            <w:pPr>
              <w:keepNext/>
              <w:keepLines/>
              <w:spacing w:after="0" w:line="240" w:lineRule="auto"/>
            </w:pPr>
            <w:r>
              <w:rPr>
                <w:sz w:val="18"/>
              </w:rPr>
              <w:t>166</w:t>
            </w:r>
          </w:p>
        </w:tc>
        <w:tc>
          <w:tcPr>
            <w:tcW w:w="3180" w:type="dxa"/>
            <w:tcMar>
              <w:top w:w="0" w:type="dxa"/>
              <w:bottom w:w="0" w:type="dxa"/>
            </w:tcMar>
            <w:vAlign w:val="center"/>
          </w:tcPr>
          <w:p w14:paraId="606510FA" w14:textId="77777777" w:rsidR="00105561" w:rsidRDefault="00000000">
            <w:pPr>
              <w:keepNext/>
              <w:keepLines/>
              <w:spacing w:after="0" w:line="240" w:lineRule="auto"/>
            </w:pPr>
            <w:r>
              <w:rPr>
                <w:sz w:val="18"/>
              </w:rPr>
              <w:t>Potraživanja za prihode od prodaje proizvoda i robe te pruženih usluga i za povrat po protestiranim jamstvima</w:t>
            </w:r>
          </w:p>
        </w:tc>
        <w:tc>
          <w:tcPr>
            <w:tcW w:w="700" w:type="dxa"/>
            <w:tcMar>
              <w:top w:w="0" w:type="dxa"/>
              <w:bottom w:w="0" w:type="dxa"/>
            </w:tcMar>
            <w:vAlign w:val="center"/>
          </w:tcPr>
          <w:p w14:paraId="20491E1D" w14:textId="77777777" w:rsidR="00105561" w:rsidRDefault="00000000">
            <w:pPr>
              <w:keepNext/>
              <w:keepLines/>
              <w:spacing w:after="0" w:line="240" w:lineRule="auto"/>
            </w:pPr>
            <w:r>
              <w:rPr>
                <w:sz w:val="18"/>
              </w:rPr>
              <w:t>166</w:t>
            </w:r>
          </w:p>
        </w:tc>
        <w:tc>
          <w:tcPr>
            <w:tcW w:w="1860" w:type="dxa"/>
            <w:tcMar>
              <w:top w:w="0" w:type="dxa"/>
              <w:bottom w:w="0" w:type="dxa"/>
            </w:tcMar>
            <w:vAlign w:val="center"/>
          </w:tcPr>
          <w:p w14:paraId="30150977" w14:textId="77777777" w:rsidR="00105561" w:rsidRDefault="00000000">
            <w:pPr>
              <w:keepNext/>
              <w:keepLines/>
              <w:spacing w:after="0" w:line="240" w:lineRule="auto"/>
              <w:jc w:val="right"/>
            </w:pPr>
            <w:r>
              <w:rPr>
                <w:sz w:val="18"/>
              </w:rPr>
              <w:t>94.276,16</w:t>
            </w:r>
          </w:p>
        </w:tc>
        <w:tc>
          <w:tcPr>
            <w:tcW w:w="1860" w:type="dxa"/>
            <w:tcMar>
              <w:top w:w="0" w:type="dxa"/>
              <w:bottom w:w="0" w:type="dxa"/>
            </w:tcMar>
            <w:vAlign w:val="center"/>
          </w:tcPr>
          <w:p w14:paraId="3218E649" w14:textId="77777777" w:rsidR="00105561" w:rsidRDefault="00000000">
            <w:pPr>
              <w:keepNext/>
              <w:keepLines/>
              <w:spacing w:after="0" w:line="240" w:lineRule="auto"/>
              <w:jc w:val="right"/>
            </w:pPr>
            <w:r>
              <w:rPr>
                <w:sz w:val="18"/>
              </w:rPr>
              <w:t>29.733,89</w:t>
            </w:r>
          </w:p>
        </w:tc>
        <w:tc>
          <w:tcPr>
            <w:tcW w:w="700" w:type="dxa"/>
            <w:tcMar>
              <w:top w:w="0" w:type="dxa"/>
              <w:bottom w:w="0" w:type="dxa"/>
            </w:tcMar>
            <w:vAlign w:val="center"/>
          </w:tcPr>
          <w:p w14:paraId="00474003" w14:textId="77777777" w:rsidR="00105561" w:rsidRDefault="00000000">
            <w:pPr>
              <w:keepNext/>
              <w:keepLines/>
              <w:spacing w:after="0" w:line="240" w:lineRule="auto"/>
              <w:jc w:val="right"/>
            </w:pPr>
            <w:r>
              <w:rPr>
                <w:sz w:val="18"/>
              </w:rPr>
              <w:t>31,5</w:t>
            </w:r>
          </w:p>
        </w:tc>
      </w:tr>
    </w:tbl>
    <w:p w14:paraId="73546AA4" w14:textId="77777777" w:rsidR="00105561" w:rsidRDefault="00105561">
      <w:pPr>
        <w:spacing w:after="0"/>
      </w:pPr>
    </w:p>
    <w:p w14:paraId="088C11E3" w14:textId="77777777" w:rsidR="00105561" w:rsidRDefault="00000000">
      <w:pPr>
        <w:jc w:val="both"/>
      </w:pPr>
      <w:r>
        <w:t>Prihodi za potraživanja od djelatnosti na tržištu u iznosu od 29.733,89 eura odnose se na potraživanja od temeljem ugovora o izradi stručnih projekata, potraživanja od fizičkih i pravnih osoba za programe izobrazbe i tečajeve za pomorce, kao i potraživanja za troškove zakupa imovine. </w:t>
      </w:r>
    </w:p>
    <w:p w14:paraId="0096F222" w14:textId="77777777" w:rsidR="00105561" w:rsidRDefault="00105561"/>
    <w:p w14:paraId="39D3AC76" w14:textId="77777777" w:rsidR="00105561" w:rsidRDefault="00000000">
      <w:pPr>
        <w:keepNext/>
        <w:spacing w:line="240" w:lineRule="auto"/>
        <w:jc w:val="center"/>
      </w:pPr>
      <w:r>
        <w:rPr>
          <w:sz w:val="28"/>
        </w:rPr>
        <w:t>Bilješka 49.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05561" w14:paraId="69E1111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88C07DC" w14:textId="77777777" w:rsidR="00105561"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F162B74" w14:textId="77777777" w:rsidR="00105561"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08E0B9C" w14:textId="77777777" w:rsidR="00105561"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4602CED" w14:textId="77777777" w:rsidR="00105561"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68A83DFC" w14:textId="77777777" w:rsidR="00105561"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195EEE1A" w14:textId="77777777" w:rsidR="00105561" w:rsidRDefault="00000000">
            <w:pPr>
              <w:keepNext/>
              <w:keepLines/>
              <w:spacing w:after="0" w:line="240" w:lineRule="auto"/>
              <w:jc w:val="center"/>
            </w:pPr>
            <w:r>
              <w:rPr>
                <w:b/>
                <w:sz w:val="18"/>
              </w:rPr>
              <w:t>Indeks (%)</w:t>
            </w:r>
          </w:p>
        </w:tc>
      </w:tr>
      <w:tr w:rsidR="00105561" w14:paraId="2996540E" w14:textId="77777777">
        <w:tblPrEx>
          <w:tblCellMar>
            <w:top w:w="0" w:type="dxa"/>
            <w:bottom w:w="0" w:type="dxa"/>
          </w:tblCellMar>
        </w:tblPrEx>
        <w:trPr>
          <w:cantSplit/>
          <w:trHeight w:val="560"/>
        </w:trPr>
        <w:tc>
          <w:tcPr>
            <w:tcW w:w="700" w:type="dxa"/>
            <w:tcMar>
              <w:top w:w="0" w:type="dxa"/>
              <w:bottom w:w="0" w:type="dxa"/>
            </w:tcMar>
            <w:vAlign w:val="center"/>
          </w:tcPr>
          <w:p w14:paraId="7A59A1A7" w14:textId="77777777" w:rsidR="00105561" w:rsidRDefault="00000000">
            <w:pPr>
              <w:keepNext/>
              <w:keepLines/>
              <w:spacing w:after="0" w:line="240" w:lineRule="auto"/>
            </w:pPr>
            <w:r>
              <w:rPr>
                <w:sz w:val="18"/>
              </w:rPr>
              <w:t>17</w:t>
            </w:r>
          </w:p>
        </w:tc>
        <w:tc>
          <w:tcPr>
            <w:tcW w:w="3180" w:type="dxa"/>
            <w:tcMar>
              <w:top w:w="0" w:type="dxa"/>
              <w:bottom w:w="0" w:type="dxa"/>
            </w:tcMar>
            <w:vAlign w:val="center"/>
          </w:tcPr>
          <w:p w14:paraId="5B9B7F00" w14:textId="77777777" w:rsidR="00105561" w:rsidRDefault="00000000">
            <w:pPr>
              <w:keepNext/>
              <w:keepLines/>
              <w:spacing w:after="0" w:line="240" w:lineRule="auto"/>
            </w:pPr>
            <w:r>
              <w:rPr>
                <w:sz w:val="18"/>
              </w:rPr>
              <w:t>Potraživanja od prodaje nefinancijske imovine (šifre 171 do 174 - 179)</w:t>
            </w:r>
          </w:p>
        </w:tc>
        <w:tc>
          <w:tcPr>
            <w:tcW w:w="700" w:type="dxa"/>
            <w:tcMar>
              <w:top w:w="0" w:type="dxa"/>
              <w:bottom w:w="0" w:type="dxa"/>
            </w:tcMar>
            <w:vAlign w:val="center"/>
          </w:tcPr>
          <w:p w14:paraId="7763FC3D" w14:textId="77777777" w:rsidR="00105561" w:rsidRDefault="00000000">
            <w:pPr>
              <w:keepNext/>
              <w:keepLines/>
              <w:spacing w:after="0" w:line="240" w:lineRule="auto"/>
            </w:pPr>
            <w:r>
              <w:rPr>
                <w:sz w:val="18"/>
              </w:rPr>
              <w:t>17</w:t>
            </w:r>
          </w:p>
        </w:tc>
        <w:tc>
          <w:tcPr>
            <w:tcW w:w="1860" w:type="dxa"/>
            <w:tcMar>
              <w:top w:w="0" w:type="dxa"/>
              <w:bottom w:w="0" w:type="dxa"/>
            </w:tcMar>
            <w:vAlign w:val="center"/>
          </w:tcPr>
          <w:p w14:paraId="51D096D0" w14:textId="77777777" w:rsidR="00105561" w:rsidRDefault="00000000">
            <w:pPr>
              <w:keepNext/>
              <w:keepLines/>
              <w:spacing w:after="0" w:line="240" w:lineRule="auto"/>
              <w:jc w:val="right"/>
            </w:pPr>
            <w:r>
              <w:rPr>
                <w:sz w:val="18"/>
              </w:rPr>
              <w:t>751,45</w:t>
            </w:r>
          </w:p>
        </w:tc>
        <w:tc>
          <w:tcPr>
            <w:tcW w:w="1860" w:type="dxa"/>
            <w:tcMar>
              <w:top w:w="0" w:type="dxa"/>
              <w:bottom w:w="0" w:type="dxa"/>
            </w:tcMar>
            <w:vAlign w:val="center"/>
          </w:tcPr>
          <w:p w14:paraId="4A367DB5" w14:textId="77777777" w:rsidR="00105561" w:rsidRDefault="00000000">
            <w:pPr>
              <w:keepNext/>
              <w:keepLines/>
              <w:spacing w:after="0" w:line="240" w:lineRule="auto"/>
              <w:jc w:val="right"/>
            </w:pPr>
            <w:r>
              <w:rPr>
                <w:sz w:val="18"/>
              </w:rPr>
              <w:t>161,76</w:t>
            </w:r>
          </w:p>
        </w:tc>
        <w:tc>
          <w:tcPr>
            <w:tcW w:w="700" w:type="dxa"/>
            <w:tcMar>
              <w:top w:w="0" w:type="dxa"/>
              <w:bottom w:w="0" w:type="dxa"/>
            </w:tcMar>
            <w:vAlign w:val="center"/>
          </w:tcPr>
          <w:p w14:paraId="278161EC" w14:textId="77777777" w:rsidR="00105561" w:rsidRDefault="00000000">
            <w:pPr>
              <w:keepNext/>
              <w:keepLines/>
              <w:spacing w:after="0" w:line="240" w:lineRule="auto"/>
              <w:jc w:val="right"/>
            </w:pPr>
            <w:r>
              <w:rPr>
                <w:sz w:val="18"/>
              </w:rPr>
              <w:t>21,5</w:t>
            </w:r>
          </w:p>
        </w:tc>
      </w:tr>
    </w:tbl>
    <w:p w14:paraId="07237535" w14:textId="77777777" w:rsidR="00105561" w:rsidRDefault="00105561">
      <w:pPr>
        <w:spacing w:after="0"/>
      </w:pPr>
    </w:p>
    <w:p w14:paraId="765416BE" w14:textId="77777777" w:rsidR="00105561" w:rsidRDefault="00000000">
      <w:pPr>
        <w:jc w:val="both"/>
      </w:pPr>
      <w:r>
        <w:t>Potraživanja za prihode od prodaje nefinancijske imovine odnose se na potraživanja od prodaje stanova u vlasništvu Fakulteta u iznosu od 161,76 eura.   </w:t>
      </w:r>
    </w:p>
    <w:p w14:paraId="12F96279" w14:textId="77777777" w:rsidR="00105561" w:rsidRDefault="00105561"/>
    <w:p w14:paraId="044381B8" w14:textId="77777777" w:rsidR="00105561" w:rsidRDefault="00000000">
      <w:pPr>
        <w:keepNext/>
        <w:spacing w:line="240" w:lineRule="auto"/>
        <w:jc w:val="center"/>
      </w:pPr>
      <w:r>
        <w:rPr>
          <w:sz w:val="28"/>
        </w:rPr>
        <w:t>Bilješka 50.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05561" w14:paraId="0C4C63C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CD42771" w14:textId="77777777" w:rsidR="00105561"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1F9EB59" w14:textId="77777777" w:rsidR="00105561"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BC6923E" w14:textId="77777777" w:rsidR="00105561"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BE5375B" w14:textId="77777777" w:rsidR="00105561"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438967F0" w14:textId="77777777" w:rsidR="00105561"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09653FC7" w14:textId="77777777" w:rsidR="00105561" w:rsidRDefault="00000000">
            <w:pPr>
              <w:keepNext/>
              <w:keepLines/>
              <w:spacing w:after="0" w:line="240" w:lineRule="auto"/>
              <w:jc w:val="center"/>
            </w:pPr>
            <w:r>
              <w:rPr>
                <w:b/>
                <w:sz w:val="18"/>
              </w:rPr>
              <w:t>Indeks (%)</w:t>
            </w:r>
          </w:p>
        </w:tc>
      </w:tr>
      <w:tr w:rsidR="00105561" w14:paraId="3AEF4EB8" w14:textId="77777777">
        <w:tblPrEx>
          <w:tblCellMar>
            <w:top w:w="0" w:type="dxa"/>
            <w:bottom w:w="0" w:type="dxa"/>
          </w:tblCellMar>
        </w:tblPrEx>
        <w:trPr>
          <w:cantSplit/>
          <w:trHeight w:val="560"/>
        </w:trPr>
        <w:tc>
          <w:tcPr>
            <w:tcW w:w="700" w:type="dxa"/>
            <w:tcMar>
              <w:top w:w="0" w:type="dxa"/>
              <w:bottom w:w="0" w:type="dxa"/>
            </w:tcMar>
            <w:vAlign w:val="center"/>
          </w:tcPr>
          <w:p w14:paraId="699B87E7" w14:textId="77777777" w:rsidR="00105561" w:rsidRDefault="00000000">
            <w:pPr>
              <w:keepNext/>
              <w:keepLines/>
              <w:spacing w:after="0" w:line="240" w:lineRule="auto"/>
            </w:pPr>
            <w:r>
              <w:rPr>
                <w:sz w:val="18"/>
              </w:rPr>
              <w:t>191</w:t>
            </w:r>
          </w:p>
        </w:tc>
        <w:tc>
          <w:tcPr>
            <w:tcW w:w="3180" w:type="dxa"/>
            <w:tcMar>
              <w:top w:w="0" w:type="dxa"/>
              <w:bottom w:w="0" w:type="dxa"/>
            </w:tcMar>
            <w:vAlign w:val="center"/>
          </w:tcPr>
          <w:p w14:paraId="0EB989E1" w14:textId="77777777" w:rsidR="00105561" w:rsidRDefault="00000000">
            <w:pPr>
              <w:keepNext/>
              <w:keepLines/>
              <w:spacing w:after="0" w:line="240" w:lineRule="auto"/>
            </w:pPr>
            <w:r>
              <w:rPr>
                <w:sz w:val="18"/>
              </w:rPr>
              <w:t>Rashodi budućih razdoblja</w:t>
            </w:r>
          </w:p>
        </w:tc>
        <w:tc>
          <w:tcPr>
            <w:tcW w:w="700" w:type="dxa"/>
            <w:tcMar>
              <w:top w:w="0" w:type="dxa"/>
              <w:bottom w:w="0" w:type="dxa"/>
            </w:tcMar>
            <w:vAlign w:val="center"/>
          </w:tcPr>
          <w:p w14:paraId="7EEB31DC" w14:textId="77777777" w:rsidR="00105561" w:rsidRDefault="00000000">
            <w:pPr>
              <w:keepNext/>
              <w:keepLines/>
              <w:spacing w:after="0" w:line="240" w:lineRule="auto"/>
            </w:pPr>
            <w:r>
              <w:rPr>
                <w:sz w:val="18"/>
              </w:rPr>
              <w:t>191</w:t>
            </w:r>
          </w:p>
        </w:tc>
        <w:tc>
          <w:tcPr>
            <w:tcW w:w="1860" w:type="dxa"/>
            <w:tcMar>
              <w:top w:w="0" w:type="dxa"/>
              <w:bottom w:w="0" w:type="dxa"/>
            </w:tcMar>
            <w:vAlign w:val="center"/>
          </w:tcPr>
          <w:p w14:paraId="1FE4BCCF" w14:textId="77777777" w:rsidR="00105561" w:rsidRDefault="00000000">
            <w:pPr>
              <w:keepNext/>
              <w:keepLines/>
              <w:spacing w:after="0" w:line="240" w:lineRule="auto"/>
              <w:jc w:val="right"/>
            </w:pPr>
            <w:r>
              <w:rPr>
                <w:sz w:val="18"/>
              </w:rPr>
              <w:t>8,84</w:t>
            </w:r>
          </w:p>
        </w:tc>
        <w:tc>
          <w:tcPr>
            <w:tcW w:w="1860" w:type="dxa"/>
            <w:tcMar>
              <w:top w:w="0" w:type="dxa"/>
              <w:bottom w:w="0" w:type="dxa"/>
            </w:tcMar>
            <w:vAlign w:val="center"/>
          </w:tcPr>
          <w:p w14:paraId="252C1CA7" w14:textId="77777777" w:rsidR="00105561" w:rsidRDefault="00000000">
            <w:pPr>
              <w:keepNext/>
              <w:keepLines/>
              <w:spacing w:after="0" w:line="240" w:lineRule="auto"/>
              <w:jc w:val="right"/>
            </w:pPr>
            <w:r>
              <w:rPr>
                <w:sz w:val="18"/>
              </w:rPr>
              <w:t>67,00</w:t>
            </w:r>
          </w:p>
        </w:tc>
        <w:tc>
          <w:tcPr>
            <w:tcW w:w="700" w:type="dxa"/>
            <w:tcMar>
              <w:top w:w="0" w:type="dxa"/>
              <w:bottom w:w="0" w:type="dxa"/>
            </w:tcMar>
            <w:vAlign w:val="center"/>
          </w:tcPr>
          <w:p w14:paraId="28540923" w14:textId="77777777" w:rsidR="00105561" w:rsidRDefault="00000000">
            <w:pPr>
              <w:keepNext/>
              <w:keepLines/>
              <w:spacing w:after="0" w:line="240" w:lineRule="auto"/>
              <w:jc w:val="right"/>
            </w:pPr>
            <w:r>
              <w:rPr>
                <w:sz w:val="18"/>
              </w:rPr>
              <w:t>757,9</w:t>
            </w:r>
          </w:p>
        </w:tc>
      </w:tr>
    </w:tbl>
    <w:p w14:paraId="09ABBBDE" w14:textId="77777777" w:rsidR="00105561" w:rsidRDefault="00105561">
      <w:pPr>
        <w:spacing w:after="0"/>
      </w:pPr>
    </w:p>
    <w:p w14:paraId="1C52F104" w14:textId="77777777" w:rsidR="00105561" w:rsidRDefault="00000000">
      <w:pPr>
        <w:jc w:val="both"/>
      </w:pPr>
      <w:r>
        <w:t>Rashodi budućih razdoblja odnose se na preostali evidentiran iznos rashoda za unaprijed plaćene rashode godišnje karte prijevoza za pet zaposlenika (račun podmiren u ožujku 2025.).</w:t>
      </w:r>
    </w:p>
    <w:p w14:paraId="34F4F73A" w14:textId="77777777" w:rsidR="00105561" w:rsidRDefault="00105561"/>
    <w:p w14:paraId="34BD3E91" w14:textId="77777777" w:rsidR="00105561" w:rsidRDefault="00000000">
      <w:pPr>
        <w:keepNext/>
        <w:spacing w:line="240" w:lineRule="auto"/>
        <w:jc w:val="center"/>
      </w:pPr>
      <w:r>
        <w:rPr>
          <w:sz w:val="28"/>
        </w:rPr>
        <w:lastRenderedPageBreak/>
        <w:t>Bilješka 51.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05561" w14:paraId="26223E7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B1619FD" w14:textId="77777777" w:rsidR="00105561"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9EFEC87" w14:textId="77777777" w:rsidR="00105561"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451ED49" w14:textId="77777777" w:rsidR="00105561"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608AEE8" w14:textId="77777777" w:rsidR="00105561"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262AECA0" w14:textId="77777777" w:rsidR="00105561"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57C470A5" w14:textId="77777777" w:rsidR="00105561" w:rsidRDefault="00000000">
            <w:pPr>
              <w:keepNext/>
              <w:keepLines/>
              <w:spacing w:after="0" w:line="240" w:lineRule="auto"/>
              <w:jc w:val="center"/>
            </w:pPr>
            <w:r>
              <w:rPr>
                <w:b/>
                <w:sz w:val="18"/>
              </w:rPr>
              <w:t>Indeks (%)</w:t>
            </w:r>
          </w:p>
        </w:tc>
      </w:tr>
      <w:tr w:rsidR="00105561" w14:paraId="2B9DCF7A" w14:textId="77777777">
        <w:tblPrEx>
          <w:tblCellMar>
            <w:top w:w="0" w:type="dxa"/>
            <w:bottom w:w="0" w:type="dxa"/>
          </w:tblCellMar>
        </w:tblPrEx>
        <w:trPr>
          <w:cantSplit/>
          <w:trHeight w:val="560"/>
        </w:trPr>
        <w:tc>
          <w:tcPr>
            <w:tcW w:w="700" w:type="dxa"/>
            <w:tcMar>
              <w:top w:w="0" w:type="dxa"/>
              <w:bottom w:w="0" w:type="dxa"/>
            </w:tcMar>
            <w:vAlign w:val="center"/>
          </w:tcPr>
          <w:p w14:paraId="0AC30A84" w14:textId="77777777" w:rsidR="00105561" w:rsidRDefault="00000000">
            <w:pPr>
              <w:keepNext/>
              <w:keepLines/>
              <w:spacing w:after="0" w:line="240" w:lineRule="auto"/>
            </w:pPr>
            <w:r>
              <w:rPr>
                <w:sz w:val="18"/>
              </w:rPr>
              <w:t>193</w:t>
            </w:r>
          </w:p>
        </w:tc>
        <w:tc>
          <w:tcPr>
            <w:tcW w:w="3180" w:type="dxa"/>
            <w:tcMar>
              <w:top w:w="0" w:type="dxa"/>
              <w:bottom w:w="0" w:type="dxa"/>
            </w:tcMar>
            <w:vAlign w:val="center"/>
          </w:tcPr>
          <w:p w14:paraId="77770EAA" w14:textId="77777777" w:rsidR="00105561" w:rsidRDefault="00000000">
            <w:pPr>
              <w:keepNext/>
              <w:keepLines/>
              <w:spacing w:after="0" w:line="240" w:lineRule="auto"/>
            </w:pPr>
            <w:r>
              <w:rPr>
                <w:sz w:val="18"/>
              </w:rPr>
              <w:t>Kontinuirani rashodi budućih razdoblja</w:t>
            </w:r>
          </w:p>
        </w:tc>
        <w:tc>
          <w:tcPr>
            <w:tcW w:w="700" w:type="dxa"/>
            <w:tcMar>
              <w:top w:w="0" w:type="dxa"/>
              <w:bottom w:w="0" w:type="dxa"/>
            </w:tcMar>
            <w:vAlign w:val="center"/>
          </w:tcPr>
          <w:p w14:paraId="2D7A901D" w14:textId="77777777" w:rsidR="00105561" w:rsidRDefault="00000000">
            <w:pPr>
              <w:keepNext/>
              <w:keepLines/>
              <w:spacing w:after="0" w:line="240" w:lineRule="auto"/>
            </w:pPr>
            <w:r>
              <w:rPr>
                <w:sz w:val="18"/>
              </w:rPr>
              <w:t>193</w:t>
            </w:r>
          </w:p>
        </w:tc>
        <w:tc>
          <w:tcPr>
            <w:tcW w:w="1860" w:type="dxa"/>
            <w:tcMar>
              <w:top w:w="0" w:type="dxa"/>
              <w:bottom w:w="0" w:type="dxa"/>
            </w:tcMar>
            <w:vAlign w:val="center"/>
          </w:tcPr>
          <w:p w14:paraId="51F761DB" w14:textId="77777777" w:rsidR="00105561" w:rsidRDefault="00000000">
            <w:pPr>
              <w:keepNext/>
              <w:keepLines/>
              <w:spacing w:after="0" w:line="240" w:lineRule="auto"/>
              <w:jc w:val="right"/>
            </w:pPr>
            <w:r>
              <w:rPr>
                <w:sz w:val="18"/>
              </w:rPr>
              <w:t>350.361,24</w:t>
            </w:r>
          </w:p>
        </w:tc>
        <w:tc>
          <w:tcPr>
            <w:tcW w:w="1860" w:type="dxa"/>
            <w:tcMar>
              <w:top w:w="0" w:type="dxa"/>
              <w:bottom w:w="0" w:type="dxa"/>
            </w:tcMar>
            <w:vAlign w:val="center"/>
          </w:tcPr>
          <w:p w14:paraId="1A71E6AD" w14:textId="77777777" w:rsidR="00105561" w:rsidRDefault="00000000">
            <w:pPr>
              <w:keepNext/>
              <w:keepLines/>
              <w:spacing w:after="0" w:line="240" w:lineRule="auto"/>
              <w:jc w:val="right"/>
            </w:pPr>
            <w:r>
              <w:rPr>
                <w:sz w:val="18"/>
              </w:rPr>
              <w:t>0,00</w:t>
            </w:r>
          </w:p>
        </w:tc>
        <w:tc>
          <w:tcPr>
            <w:tcW w:w="700" w:type="dxa"/>
            <w:tcMar>
              <w:top w:w="0" w:type="dxa"/>
              <w:bottom w:w="0" w:type="dxa"/>
            </w:tcMar>
            <w:vAlign w:val="center"/>
          </w:tcPr>
          <w:p w14:paraId="1EAB45B4" w14:textId="77777777" w:rsidR="00105561" w:rsidRDefault="00000000">
            <w:pPr>
              <w:keepNext/>
              <w:keepLines/>
              <w:spacing w:after="0" w:line="240" w:lineRule="auto"/>
              <w:jc w:val="right"/>
            </w:pPr>
            <w:r>
              <w:rPr>
                <w:sz w:val="18"/>
              </w:rPr>
              <w:t>0</w:t>
            </w:r>
          </w:p>
        </w:tc>
      </w:tr>
    </w:tbl>
    <w:p w14:paraId="602D40ED" w14:textId="77777777" w:rsidR="00105561" w:rsidRDefault="00105561">
      <w:pPr>
        <w:spacing w:after="0"/>
      </w:pPr>
    </w:p>
    <w:p w14:paraId="4320BA7C" w14:textId="77777777" w:rsidR="00105561" w:rsidRDefault="00000000">
      <w:pPr>
        <w:jc w:val="both"/>
      </w:pPr>
      <w:r>
        <w:t>Kontinuirani rashodi budućih razdoblja evidentirani su samo na početnom stanju jer se odnose se na rashode za plaću za prosinac 2024. koja je teretila rashode u siječnju 2025. godine u iznosu od 350.361,24 eura. Temeljem novog Pravilnika o računovodstvu i Računskom planu propisano je da se podskupina računa 193 Kontinuirani rashodi budućih razdoblja ukida te da se s danom 1. siječnja 2025. kontinuirani rashodi budućih razdoblja prenose na odgovarajuće račune razreda 3 Rashodi poslovanja.</w:t>
      </w:r>
    </w:p>
    <w:p w14:paraId="599F0096" w14:textId="77777777" w:rsidR="00105561" w:rsidRDefault="00105561"/>
    <w:p w14:paraId="43E656A7" w14:textId="77777777" w:rsidR="00105561" w:rsidRDefault="00000000">
      <w:pPr>
        <w:keepNext/>
        <w:spacing w:line="240" w:lineRule="auto"/>
        <w:jc w:val="center"/>
      </w:pPr>
      <w:r>
        <w:rPr>
          <w:sz w:val="28"/>
        </w:rPr>
        <w:t>Bilješka 52.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05561" w14:paraId="3ACE17C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6972E8A" w14:textId="77777777" w:rsidR="00105561"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0E1573A" w14:textId="77777777" w:rsidR="00105561"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FDBFF8B" w14:textId="77777777" w:rsidR="00105561"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5E76F88" w14:textId="77777777" w:rsidR="00105561"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0AAE8DF3" w14:textId="77777777" w:rsidR="00105561"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65885913" w14:textId="77777777" w:rsidR="00105561" w:rsidRDefault="00000000">
            <w:pPr>
              <w:keepNext/>
              <w:keepLines/>
              <w:spacing w:after="0" w:line="240" w:lineRule="auto"/>
              <w:jc w:val="center"/>
            </w:pPr>
            <w:r>
              <w:rPr>
                <w:b/>
                <w:sz w:val="18"/>
              </w:rPr>
              <w:t>Indeks (%)</w:t>
            </w:r>
          </w:p>
        </w:tc>
      </w:tr>
      <w:tr w:rsidR="00105561" w14:paraId="3B9B696D" w14:textId="77777777">
        <w:tblPrEx>
          <w:tblCellMar>
            <w:top w:w="0" w:type="dxa"/>
            <w:bottom w:w="0" w:type="dxa"/>
          </w:tblCellMar>
        </w:tblPrEx>
        <w:trPr>
          <w:cantSplit/>
          <w:trHeight w:val="560"/>
        </w:trPr>
        <w:tc>
          <w:tcPr>
            <w:tcW w:w="700" w:type="dxa"/>
            <w:tcMar>
              <w:top w:w="0" w:type="dxa"/>
              <w:bottom w:w="0" w:type="dxa"/>
            </w:tcMar>
            <w:vAlign w:val="center"/>
          </w:tcPr>
          <w:p w14:paraId="0F72FA06" w14:textId="77777777" w:rsidR="00105561" w:rsidRDefault="00000000">
            <w:pPr>
              <w:keepNext/>
              <w:keepLines/>
              <w:spacing w:after="0" w:line="240" w:lineRule="auto"/>
            </w:pPr>
            <w:r>
              <w:rPr>
                <w:sz w:val="18"/>
              </w:rPr>
              <w:t>231</w:t>
            </w:r>
          </w:p>
        </w:tc>
        <w:tc>
          <w:tcPr>
            <w:tcW w:w="3180" w:type="dxa"/>
            <w:tcMar>
              <w:top w:w="0" w:type="dxa"/>
              <w:bottom w:w="0" w:type="dxa"/>
            </w:tcMar>
            <w:vAlign w:val="center"/>
          </w:tcPr>
          <w:p w14:paraId="48EE6BA8" w14:textId="77777777" w:rsidR="00105561" w:rsidRDefault="00000000">
            <w:pPr>
              <w:keepNext/>
              <w:keepLines/>
              <w:spacing w:after="0" w:line="240" w:lineRule="auto"/>
            </w:pPr>
            <w:r>
              <w:rPr>
                <w:sz w:val="18"/>
              </w:rPr>
              <w:t>Obveze za zaposlene</w:t>
            </w:r>
          </w:p>
        </w:tc>
        <w:tc>
          <w:tcPr>
            <w:tcW w:w="700" w:type="dxa"/>
            <w:tcMar>
              <w:top w:w="0" w:type="dxa"/>
              <w:bottom w:w="0" w:type="dxa"/>
            </w:tcMar>
            <w:vAlign w:val="center"/>
          </w:tcPr>
          <w:p w14:paraId="7DA4DDB3" w14:textId="77777777" w:rsidR="00105561" w:rsidRDefault="00000000">
            <w:pPr>
              <w:keepNext/>
              <w:keepLines/>
              <w:spacing w:after="0" w:line="240" w:lineRule="auto"/>
            </w:pPr>
            <w:r>
              <w:rPr>
                <w:sz w:val="18"/>
              </w:rPr>
              <w:t>231</w:t>
            </w:r>
          </w:p>
        </w:tc>
        <w:tc>
          <w:tcPr>
            <w:tcW w:w="1860" w:type="dxa"/>
            <w:tcMar>
              <w:top w:w="0" w:type="dxa"/>
              <w:bottom w:w="0" w:type="dxa"/>
            </w:tcMar>
            <w:vAlign w:val="center"/>
          </w:tcPr>
          <w:p w14:paraId="38DA1BC8" w14:textId="77777777" w:rsidR="00105561" w:rsidRDefault="00000000">
            <w:pPr>
              <w:keepNext/>
              <w:keepLines/>
              <w:spacing w:after="0" w:line="240" w:lineRule="auto"/>
              <w:jc w:val="right"/>
            </w:pPr>
            <w:r>
              <w:rPr>
                <w:sz w:val="18"/>
              </w:rPr>
              <w:t>460.982,95</w:t>
            </w:r>
          </w:p>
        </w:tc>
        <w:tc>
          <w:tcPr>
            <w:tcW w:w="1860" w:type="dxa"/>
            <w:tcMar>
              <w:top w:w="0" w:type="dxa"/>
              <w:bottom w:w="0" w:type="dxa"/>
            </w:tcMar>
            <w:vAlign w:val="center"/>
          </w:tcPr>
          <w:p w14:paraId="226895F5" w14:textId="77777777" w:rsidR="00105561" w:rsidRDefault="00000000">
            <w:pPr>
              <w:keepNext/>
              <w:keepLines/>
              <w:spacing w:after="0" w:line="240" w:lineRule="auto"/>
              <w:jc w:val="right"/>
            </w:pPr>
            <w:r>
              <w:rPr>
                <w:sz w:val="18"/>
              </w:rPr>
              <w:t>470.308,60</w:t>
            </w:r>
          </w:p>
        </w:tc>
        <w:tc>
          <w:tcPr>
            <w:tcW w:w="700" w:type="dxa"/>
            <w:tcMar>
              <w:top w:w="0" w:type="dxa"/>
              <w:bottom w:w="0" w:type="dxa"/>
            </w:tcMar>
            <w:vAlign w:val="center"/>
          </w:tcPr>
          <w:p w14:paraId="214DAABA" w14:textId="77777777" w:rsidR="00105561" w:rsidRDefault="00000000">
            <w:pPr>
              <w:keepNext/>
              <w:keepLines/>
              <w:spacing w:after="0" w:line="240" w:lineRule="auto"/>
              <w:jc w:val="right"/>
            </w:pPr>
            <w:r>
              <w:rPr>
                <w:sz w:val="18"/>
              </w:rPr>
              <w:t>102,0</w:t>
            </w:r>
          </w:p>
        </w:tc>
      </w:tr>
    </w:tbl>
    <w:p w14:paraId="54285BDB" w14:textId="77777777" w:rsidR="00105561" w:rsidRDefault="00105561">
      <w:pPr>
        <w:spacing w:after="0"/>
      </w:pPr>
    </w:p>
    <w:p w14:paraId="2B58B18F" w14:textId="77777777" w:rsidR="00105561" w:rsidRDefault="00000000">
      <w:pPr>
        <w:jc w:val="both"/>
      </w:pPr>
      <w:r>
        <w:t>Obveze za zaposlene su obračunate plaće za zaposlenike Fakulteta koje su isplaćene u siječnju 2026. g. u iznosu od 470.308,60 eura.</w:t>
      </w:r>
    </w:p>
    <w:p w14:paraId="04A07BFE" w14:textId="77777777" w:rsidR="00105561" w:rsidRDefault="00105561"/>
    <w:p w14:paraId="1BC165DD" w14:textId="77777777" w:rsidR="00105561" w:rsidRDefault="00000000">
      <w:pPr>
        <w:keepNext/>
        <w:spacing w:line="240" w:lineRule="auto"/>
        <w:jc w:val="center"/>
      </w:pPr>
      <w:r>
        <w:rPr>
          <w:sz w:val="28"/>
        </w:rPr>
        <w:t>Bilješka 53.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05561" w14:paraId="04AFA86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56D97AA" w14:textId="77777777" w:rsidR="00105561"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860406E" w14:textId="77777777" w:rsidR="00105561"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F949679" w14:textId="77777777" w:rsidR="00105561"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25D89FB" w14:textId="77777777" w:rsidR="00105561"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39833CD9" w14:textId="77777777" w:rsidR="00105561"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7AC2226D" w14:textId="77777777" w:rsidR="00105561" w:rsidRDefault="00000000">
            <w:pPr>
              <w:keepNext/>
              <w:keepLines/>
              <w:spacing w:after="0" w:line="240" w:lineRule="auto"/>
              <w:jc w:val="center"/>
            </w:pPr>
            <w:r>
              <w:rPr>
                <w:b/>
                <w:sz w:val="18"/>
              </w:rPr>
              <w:t>Indeks (%)</w:t>
            </w:r>
          </w:p>
        </w:tc>
      </w:tr>
      <w:tr w:rsidR="00105561" w14:paraId="2809FCD6" w14:textId="77777777">
        <w:tblPrEx>
          <w:tblCellMar>
            <w:top w:w="0" w:type="dxa"/>
            <w:bottom w:w="0" w:type="dxa"/>
          </w:tblCellMar>
        </w:tblPrEx>
        <w:trPr>
          <w:cantSplit/>
          <w:trHeight w:val="560"/>
        </w:trPr>
        <w:tc>
          <w:tcPr>
            <w:tcW w:w="700" w:type="dxa"/>
            <w:tcMar>
              <w:top w:w="0" w:type="dxa"/>
              <w:bottom w:w="0" w:type="dxa"/>
            </w:tcMar>
            <w:vAlign w:val="center"/>
          </w:tcPr>
          <w:p w14:paraId="61DB89F2" w14:textId="77777777" w:rsidR="00105561" w:rsidRDefault="00000000">
            <w:pPr>
              <w:keepNext/>
              <w:keepLines/>
              <w:spacing w:after="0" w:line="240" w:lineRule="auto"/>
            </w:pPr>
            <w:r>
              <w:rPr>
                <w:sz w:val="18"/>
              </w:rPr>
              <w:t>232</w:t>
            </w:r>
          </w:p>
        </w:tc>
        <w:tc>
          <w:tcPr>
            <w:tcW w:w="3180" w:type="dxa"/>
            <w:tcMar>
              <w:top w:w="0" w:type="dxa"/>
              <w:bottom w:w="0" w:type="dxa"/>
            </w:tcMar>
            <w:vAlign w:val="center"/>
          </w:tcPr>
          <w:p w14:paraId="3E47FAA8" w14:textId="77777777" w:rsidR="00105561" w:rsidRDefault="00000000">
            <w:pPr>
              <w:keepNext/>
              <w:keepLines/>
              <w:spacing w:after="0" w:line="240" w:lineRule="auto"/>
            </w:pPr>
            <w:r>
              <w:rPr>
                <w:sz w:val="18"/>
              </w:rPr>
              <w:t>Obveze za materijalne rashode</w:t>
            </w:r>
          </w:p>
        </w:tc>
        <w:tc>
          <w:tcPr>
            <w:tcW w:w="700" w:type="dxa"/>
            <w:tcMar>
              <w:top w:w="0" w:type="dxa"/>
              <w:bottom w:w="0" w:type="dxa"/>
            </w:tcMar>
            <w:vAlign w:val="center"/>
          </w:tcPr>
          <w:p w14:paraId="6A67CE87" w14:textId="77777777" w:rsidR="00105561" w:rsidRDefault="00000000">
            <w:pPr>
              <w:keepNext/>
              <w:keepLines/>
              <w:spacing w:after="0" w:line="240" w:lineRule="auto"/>
            </w:pPr>
            <w:r>
              <w:rPr>
                <w:sz w:val="18"/>
              </w:rPr>
              <w:t>232</w:t>
            </w:r>
          </w:p>
        </w:tc>
        <w:tc>
          <w:tcPr>
            <w:tcW w:w="1860" w:type="dxa"/>
            <w:tcMar>
              <w:top w:w="0" w:type="dxa"/>
              <w:bottom w:w="0" w:type="dxa"/>
            </w:tcMar>
            <w:vAlign w:val="center"/>
          </w:tcPr>
          <w:p w14:paraId="2B6B0688" w14:textId="77777777" w:rsidR="00105561" w:rsidRDefault="00000000">
            <w:pPr>
              <w:keepNext/>
              <w:keepLines/>
              <w:spacing w:after="0" w:line="240" w:lineRule="auto"/>
              <w:jc w:val="right"/>
            </w:pPr>
            <w:r>
              <w:rPr>
                <w:sz w:val="18"/>
              </w:rPr>
              <w:t>61.616,73</w:t>
            </w:r>
          </w:p>
        </w:tc>
        <w:tc>
          <w:tcPr>
            <w:tcW w:w="1860" w:type="dxa"/>
            <w:tcMar>
              <w:top w:w="0" w:type="dxa"/>
              <w:bottom w:w="0" w:type="dxa"/>
            </w:tcMar>
            <w:vAlign w:val="center"/>
          </w:tcPr>
          <w:p w14:paraId="43E6620D" w14:textId="77777777" w:rsidR="00105561" w:rsidRDefault="00000000">
            <w:pPr>
              <w:keepNext/>
              <w:keepLines/>
              <w:spacing w:after="0" w:line="240" w:lineRule="auto"/>
              <w:jc w:val="right"/>
            </w:pPr>
            <w:r>
              <w:rPr>
                <w:sz w:val="18"/>
              </w:rPr>
              <w:t>57.484,45</w:t>
            </w:r>
          </w:p>
        </w:tc>
        <w:tc>
          <w:tcPr>
            <w:tcW w:w="700" w:type="dxa"/>
            <w:tcMar>
              <w:top w:w="0" w:type="dxa"/>
              <w:bottom w:w="0" w:type="dxa"/>
            </w:tcMar>
            <w:vAlign w:val="center"/>
          </w:tcPr>
          <w:p w14:paraId="784C73F9" w14:textId="77777777" w:rsidR="00105561" w:rsidRDefault="00000000">
            <w:pPr>
              <w:keepNext/>
              <w:keepLines/>
              <w:spacing w:after="0" w:line="240" w:lineRule="auto"/>
              <w:jc w:val="right"/>
            </w:pPr>
            <w:r>
              <w:rPr>
                <w:sz w:val="18"/>
              </w:rPr>
              <w:t>93,3</w:t>
            </w:r>
          </w:p>
        </w:tc>
      </w:tr>
    </w:tbl>
    <w:p w14:paraId="22356E71" w14:textId="77777777" w:rsidR="00105561" w:rsidRDefault="00105561">
      <w:pPr>
        <w:spacing w:after="0"/>
      </w:pPr>
    </w:p>
    <w:p w14:paraId="76DAB093" w14:textId="77777777" w:rsidR="00105561" w:rsidRDefault="00000000">
      <w:pPr>
        <w:jc w:val="both"/>
      </w:pPr>
      <w:r>
        <w:t>Obveze za materijalne rashode u iznosu od 57.484,45 su računi koji se odnose na prosinac 2025. godine (naknade za prijevoz, uredski materijal, električna energija, usluge telefona, pošte i prijevoza, komunalne usluge, najamnine i zakupnine, autorske honorare i ostale intelektualne usluge) koji su podmireni u siječnju 2026. godine. </w:t>
      </w:r>
    </w:p>
    <w:p w14:paraId="3EB4FB34" w14:textId="77777777" w:rsidR="00105561" w:rsidRDefault="00105561"/>
    <w:p w14:paraId="4015C0D9" w14:textId="77777777" w:rsidR="00105561" w:rsidRDefault="00000000">
      <w:pPr>
        <w:keepNext/>
        <w:spacing w:line="240" w:lineRule="auto"/>
        <w:jc w:val="center"/>
      </w:pPr>
      <w:r>
        <w:rPr>
          <w:sz w:val="28"/>
        </w:rPr>
        <w:t>Bilješka 54.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05561" w14:paraId="4523082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D941F33" w14:textId="77777777" w:rsidR="00105561"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67D9D40" w14:textId="77777777" w:rsidR="00105561"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C068328" w14:textId="77777777" w:rsidR="00105561"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0E26662" w14:textId="77777777" w:rsidR="00105561"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587E70B4" w14:textId="77777777" w:rsidR="00105561"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05B67E97" w14:textId="77777777" w:rsidR="00105561" w:rsidRDefault="00000000">
            <w:pPr>
              <w:keepNext/>
              <w:keepLines/>
              <w:spacing w:after="0" w:line="240" w:lineRule="auto"/>
              <w:jc w:val="center"/>
            </w:pPr>
            <w:r>
              <w:rPr>
                <w:b/>
                <w:sz w:val="18"/>
              </w:rPr>
              <w:t>Indeks (%)</w:t>
            </w:r>
          </w:p>
        </w:tc>
      </w:tr>
      <w:tr w:rsidR="00105561" w14:paraId="6FD21BCD" w14:textId="77777777">
        <w:tblPrEx>
          <w:tblCellMar>
            <w:top w:w="0" w:type="dxa"/>
            <w:bottom w:w="0" w:type="dxa"/>
          </w:tblCellMar>
        </w:tblPrEx>
        <w:trPr>
          <w:cantSplit/>
          <w:trHeight w:val="560"/>
        </w:trPr>
        <w:tc>
          <w:tcPr>
            <w:tcW w:w="700" w:type="dxa"/>
            <w:tcMar>
              <w:top w:w="0" w:type="dxa"/>
              <w:bottom w:w="0" w:type="dxa"/>
            </w:tcMar>
            <w:vAlign w:val="center"/>
          </w:tcPr>
          <w:p w14:paraId="6BFB7FF9" w14:textId="77777777" w:rsidR="00105561" w:rsidRDefault="00000000">
            <w:pPr>
              <w:keepNext/>
              <w:keepLines/>
              <w:spacing w:after="0" w:line="240" w:lineRule="auto"/>
            </w:pPr>
            <w:r>
              <w:rPr>
                <w:sz w:val="18"/>
              </w:rPr>
              <w:t>239</w:t>
            </w:r>
          </w:p>
        </w:tc>
        <w:tc>
          <w:tcPr>
            <w:tcW w:w="3180" w:type="dxa"/>
            <w:tcMar>
              <w:top w:w="0" w:type="dxa"/>
              <w:bottom w:w="0" w:type="dxa"/>
            </w:tcMar>
            <w:vAlign w:val="center"/>
          </w:tcPr>
          <w:p w14:paraId="2A69772F" w14:textId="77777777" w:rsidR="00105561" w:rsidRDefault="00000000">
            <w:pPr>
              <w:keepNext/>
              <w:keepLines/>
              <w:spacing w:after="0" w:line="240" w:lineRule="auto"/>
            </w:pPr>
            <w:r>
              <w:rPr>
                <w:sz w:val="18"/>
              </w:rPr>
              <w:t>Ostale tekuće obveze</w:t>
            </w:r>
          </w:p>
        </w:tc>
        <w:tc>
          <w:tcPr>
            <w:tcW w:w="700" w:type="dxa"/>
            <w:tcMar>
              <w:top w:w="0" w:type="dxa"/>
              <w:bottom w:w="0" w:type="dxa"/>
            </w:tcMar>
            <w:vAlign w:val="center"/>
          </w:tcPr>
          <w:p w14:paraId="2B0E0624" w14:textId="77777777" w:rsidR="00105561" w:rsidRDefault="00000000">
            <w:pPr>
              <w:keepNext/>
              <w:keepLines/>
              <w:spacing w:after="0" w:line="240" w:lineRule="auto"/>
            </w:pPr>
            <w:r>
              <w:rPr>
                <w:sz w:val="18"/>
              </w:rPr>
              <w:t>239</w:t>
            </w:r>
          </w:p>
        </w:tc>
        <w:tc>
          <w:tcPr>
            <w:tcW w:w="1860" w:type="dxa"/>
            <w:tcMar>
              <w:top w:w="0" w:type="dxa"/>
              <w:bottom w:w="0" w:type="dxa"/>
            </w:tcMar>
            <w:vAlign w:val="center"/>
          </w:tcPr>
          <w:p w14:paraId="540E522B" w14:textId="77777777" w:rsidR="00105561" w:rsidRDefault="00000000">
            <w:pPr>
              <w:keepNext/>
              <w:keepLines/>
              <w:spacing w:after="0" w:line="240" w:lineRule="auto"/>
              <w:jc w:val="right"/>
            </w:pPr>
            <w:r>
              <w:rPr>
                <w:sz w:val="18"/>
              </w:rPr>
              <w:t>81.052,25</w:t>
            </w:r>
          </w:p>
        </w:tc>
        <w:tc>
          <w:tcPr>
            <w:tcW w:w="1860" w:type="dxa"/>
            <w:tcMar>
              <w:top w:w="0" w:type="dxa"/>
              <w:bottom w:w="0" w:type="dxa"/>
            </w:tcMar>
            <w:vAlign w:val="center"/>
          </w:tcPr>
          <w:p w14:paraId="44731336" w14:textId="77777777" w:rsidR="00105561" w:rsidRDefault="00000000">
            <w:pPr>
              <w:keepNext/>
              <w:keepLines/>
              <w:spacing w:after="0" w:line="240" w:lineRule="auto"/>
              <w:jc w:val="right"/>
            </w:pPr>
            <w:r>
              <w:rPr>
                <w:sz w:val="18"/>
              </w:rPr>
              <w:t>13.749,11</w:t>
            </w:r>
          </w:p>
        </w:tc>
        <w:tc>
          <w:tcPr>
            <w:tcW w:w="700" w:type="dxa"/>
            <w:tcMar>
              <w:top w:w="0" w:type="dxa"/>
              <w:bottom w:w="0" w:type="dxa"/>
            </w:tcMar>
            <w:vAlign w:val="center"/>
          </w:tcPr>
          <w:p w14:paraId="0DB4E56C" w14:textId="77777777" w:rsidR="00105561" w:rsidRDefault="00000000">
            <w:pPr>
              <w:keepNext/>
              <w:keepLines/>
              <w:spacing w:after="0" w:line="240" w:lineRule="auto"/>
              <w:jc w:val="right"/>
            </w:pPr>
            <w:r>
              <w:rPr>
                <w:sz w:val="18"/>
              </w:rPr>
              <w:t>17,0</w:t>
            </w:r>
          </w:p>
        </w:tc>
      </w:tr>
    </w:tbl>
    <w:p w14:paraId="6A8170D2" w14:textId="77777777" w:rsidR="00105561" w:rsidRDefault="00105561">
      <w:pPr>
        <w:spacing w:after="0"/>
      </w:pPr>
    </w:p>
    <w:p w14:paraId="02D2111E" w14:textId="77777777" w:rsidR="00105561" w:rsidRDefault="00000000">
      <w:r>
        <w:lastRenderedPageBreak/>
        <w:t>Ostale tekuće obveze odnose se na obveze za PDV po obračunu za prosinac 2025. g. u iznosu od 11.275,20 eura i obveze prema izdavateljima kartica u iznosu od 2.473,91 eura. Razlika u izvršenju u odnosu na prethodnu godinu obrazložena je kod Obveza za predujmove i jamčevine.</w:t>
      </w:r>
    </w:p>
    <w:p w14:paraId="4FE763CB" w14:textId="77777777" w:rsidR="00105561" w:rsidRDefault="00105561"/>
    <w:p w14:paraId="7AEC4FEA" w14:textId="77777777" w:rsidR="00105561" w:rsidRDefault="00000000">
      <w:pPr>
        <w:keepNext/>
        <w:spacing w:line="240" w:lineRule="auto"/>
        <w:jc w:val="center"/>
      </w:pPr>
      <w:r>
        <w:rPr>
          <w:sz w:val="28"/>
        </w:rPr>
        <w:t>Bilješka 55.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05561" w14:paraId="2F18683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6C2CDCD" w14:textId="77777777" w:rsidR="00105561"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A5E0CD0" w14:textId="77777777" w:rsidR="00105561"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51E4B26" w14:textId="77777777" w:rsidR="00105561"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635C481" w14:textId="77777777" w:rsidR="00105561"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57C03838" w14:textId="77777777" w:rsidR="00105561"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04398E65" w14:textId="77777777" w:rsidR="00105561" w:rsidRDefault="00000000">
            <w:pPr>
              <w:keepNext/>
              <w:keepLines/>
              <w:spacing w:after="0" w:line="240" w:lineRule="auto"/>
              <w:jc w:val="center"/>
            </w:pPr>
            <w:r>
              <w:rPr>
                <w:b/>
                <w:sz w:val="18"/>
              </w:rPr>
              <w:t>Indeks (%)</w:t>
            </w:r>
          </w:p>
        </w:tc>
      </w:tr>
      <w:tr w:rsidR="00105561" w14:paraId="2E938503" w14:textId="77777777">
        <w:tblPrEx>
          <w:tblCellMar>
            <w:top w:w="0" w:type="dxa"/>
            <w:bottom w:w="0" w:type="dxa"/>
          </w:tblCellMar>
        </w:tblPrEx>
        <w:trPr>
          <w:cantSplit/>
          <w:trHeight w:val="560"/>
        </w:trPr>
        <w:tc>
          <w:tcPr>
            <w:tcW w:w="700" w:type="dxa"/>
            <w:tcMar>
              <w:top w:w="0" w:type="dxa"/>
              <w:bottom w:w="0" w:type="dxa"/>
            </w:tcMar>
            <w:vAlign w:val="center"/>
          </w:tcPr>
          <w:p w14:paraId="56622625" w14:textId="77777777" w:rsidR="00105561" w:rsidRDefault="00000000">
            <w:pPr>
              <w:keepNext/>
              <w:keepLines/>
              <w:spacing w:after="0" w:line="240" w:lineRule="auto"/>
            </w:pPr>
            <w:r>
              <w:rPr>
                <w:sz w:val="18"/>
              </w:rPr>
              <w:t>27</w:t>
            </w:r>
          </w:p>
        </w:tc>
        <w:tc>
          <w:tcPr>
            <w:tcW w:w="3180" w:type="dxa"/>
            <w:tcMar>
              <w:top w:w="0" w:type="dxa"/>
              <w:bottom w:w="0" w:type="dxa"/>
            </w:tcMar>
            <w:vAlign w:val="center"/>
          </w:tcPr>
          <w:p w14:paraId="0E5E4D6F" w14:textId="77777777" w:rsidR="00105561" w:rsidRDefault="00000000">
            <w:pPr>
              <w:keepNext/>
              <w:keepLines/>
              <w:spacing w:after="0" w:line="240" w:lineRule="auto"/>
            </w:pPr>
            <w:r>
              <w:rPr>
                <w:sz w:val="18"/>
              </w:rPr>
              <w:t>Obveze za predujmove, depozite, jamčevne pologe i tuđe prihode</w:t>
            </w:r>
          </w:p>
        </w:tc>
        <w:tc>
          <w:tcPr>
            <w:tcW w:w="700" w:type="dxa"/>
            <w:tcMar>
              <w:top w:w="0" w:type="dxa"/>
              <w:bottom w:w="0" w:type="dxa"/>
            </w:tcMar>
            <w:vAlign w:val="center"/>
          </w:tcPr>
          <w:p w14:paraId="52CD55B1" w14:textId="77777777" w:rsidR="00105561" w:rsidRDefault="00000000">
            <w:pPr>
              <w:keepNext/>
              <w:keepLines/>
              <w:spacing w:after="0" w:line="240" w:lineRule="auto"/>
            </w:pPr>
            <w:r>
              <w:rPr>
                <w:sz w:val="18"/>
              </w:rPr>
              <w:t>27</w:t>
            </w:r>
          </w:p>
        </w:tc>
        <w:tc>
          <w:tcPr>
            <w:tcW w:w="1860" w:type="dxa"/>
            <w:tcMar>
              <w:top w:w="0" w:type="dxa"/>
              <w:bottom w:w="0" w:type="dxa"/>
            </w:tcMar>
            <w:vAlign w:val="center"/>
          </w:tcPr>
          <w:p w14:paraId="2A5D5440" w14:textId="77777777" w:rsidR="00105561" w:rsidRDefault="00000000">
            <w:pPr>
              <w:keepNext/>
              <w:keepLines/>
              <w:spacing w:after="0" w:line="240" w:lineRule="auto"/>
              <w:jc w:val="right"/>
            </w:pPr>
            <w:r>
              <w:rPr>
                <w:sz w:val="18"/>
              </w:rPr>
              <w:t>0,00</w:t>
            </w:r>
          </w:p>
        </w:tc>
        <w:tc>
          <w:tcPr>
            <w:tcW w:w="1860" w:type="dxa"/>
            <w:tcMar>
              <w:top w:w="0" w:type="dxa"/>
              <w:bottom w:w="0" w:type="dxa"/>
            </w:tcMar>
            <w:vAlign w:val="center"/>
          </w:tcPr>
          <w:p w14:paraId="5975D2C5" w14:textId="77777777" w:rsidR="00105561" w:rsidRDefault="00000000">
            <w:pPr>
              <w:keepNext/>
              <w:keepLines/>
              <w:spacing w:after="0" w:line="240" w:lineRule="auto"/>
              <w:jc w:val="right"/>
            </w:pPr>
            <w:r>
              <w:rPr>
                <w:sz w:val="18"/>
              </w:rPr>
              <w:t>73.493,03</w:t>
            </w:r>
          </w:p>
        </w:tc>
        <w:tc>
          <w:tcPr>
            <w:tcW w:w="700" w:type="dxa"/>
            <w:tcMar>
              <w:top w:w="0" w:type="dxa"/>
              <w:bottom w:w="0" w:type="dxa"/>
            </w:tcMar>
            <w:vAlign w:val="center"/>
          </w:tcPr>
          <w:p w14:paraId="1823C043" w14:textId="77777777" w:rsidR="00105561" w:rsidRDefault="00000000">
            <w:pPr>
              <w:keepNext/>
              <w:keepLines/>
              <w:spacing w:after="0" w:line="240" w:lineRule="auto"/>
              <w:jc w:val="right"/>
            </w:pPr>
            <w:r>
              <w:rPr>
                <w:sz w:val="18"/>
              </w:rPr>
              <w:t>-</w:t>
            </w:r>
          </w:p>
        </w:tc>
      </w:tr>
    </w:tbl>
    <w:p w14:paraId="6C62802E" w14:textId="77777777" w:rsidR="00105561" w:rsidRDefault="00105561">
      <w:pPr>
        <w:spacing w:after="0"/>
      </w:pPr>
    </w:p>
    <w:p w14:paraId="19DC587A" w14:textId="77777777" w:rsidR="00105561" w:rsidRDefault="00000000">
      <w:pPr>
        <w:jc w:val="both"/>
      </w:pPr>
      <w:r>
        <w:t>Obveze za predujmove i jamčevine odnose se na obveze za predujmove studenata koji će pohađati nastavu na Zavodu za nautičke znanosti u sklopu programa mobilnosti financiranog od strane gruzijske Vlade u iznosu od 16.681,32 eura,  obveze za jamčevne pologe od ponuditelja/izvršitelja u postupcima javne nabave u iznosu od 9.899,00 eura, obveze za  uplatu 65% prihoda od prodaje stanova koji se uplaćuju Državni proračun u iznosu od 383,30 eura, obveze za uplatu upisnina Sveučilištu u Rijeci u iznosu od  46.411,12 eura i obveze za povrat u proračun u iznosu od 88,29 eura za naknadu za bolovanje. Povećanje Obveza za predujmove i jamčevine nastalo je uslijed promjena u evidentiranju sukladno članku 232., stavku 2. novog Pravilnika o proračunskom računovodstvu i Računskom planu koji je u primjeni od 1. siječnja 2025. godine.  Prethodnih godina ovi predujmovi bili su evidentirani unutar podskupine 239 – Ostale tekuće obveze. </w:t>
      </w:r>
    </w:p>
    <w:p w14:paraId="353B0C39" w14:textId="77777777" w:rsidR="00105561" w:rsidRDefault="00105561"/>
    <w:p w14:paraId="3550C09F" w14:textId="77777777" w:rsidR="00105561" w:rsidRDefault="00000000">
      <w:pPr>
        <w:keepNext/>
        <w:spacing w:line="240" w:lineRule="auto"/>
        <w:jc w:val="center"/>
      </w:pPr>
      <w:r>
        <w:rPr>
          <w:sz w:val="28"/>
        </w:rPr>
        <w:t>Bilješka 56.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05561" w14:paraId="2F4C888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5FA6C66" w14:textId="77777777" w:rsidR="00105561"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31D80B0" w14:textId="77777777" w:rsidR="00105561"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DDEAEB0" w14:textId="77777777" w:rsidR="00105561"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2E06C1B" w14:textId="77777777" w:rsidR="00105561"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16A01D4E" w14:textId="77777777" w:rsidR="00105561"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1790F67B" w14:textId="77777777" w:rsidR="00105561" w:rsidRDefault="00000000">
            <w:pPr>
              <w:keepNext/>
              <w:keepLines/>
              <w:spacing w:after="0" w:line="240" w:lineRule="auto"/>
              <w:jc w:val="center"/>
            </w:pPr>
            <w:r>
              <w:rPr>
                <w:b/>
                <w:sz w:val="18"/>
              </w:rPr>
              <w:t>Indeks (%)</w:t>
            </w:r>
          </w:p>
        </w:tc>
      </w:tr>
      <w:tr w:rsidR="00105561" w14:paraId="531EFF28" w14:textId="77777777">
        <w:tblPrEx>
          <w:tblCellMar>
            <w:top w:w="0" w:type="dxa"/>
            <w:bottom w:w="0" w:type="dxa"/>
          </w:tblCellMar>
        </w:tblPrEx>
        <w:trPr>
          <w:cantSplit/>
          <w:trHeight w:val="560"/>
        </w:trPr>
        <w:tc>
          <w:tcPr>
            <w:tcW w:w="700" w:type="dxa"/>
            <w:tcMar>
              <w:top w:w="0" w:type="dxa"/>
              <w:bottom w:w="0" w:type="dxa"/>
            </w:tcMar>
            <w:vAlign w:val="center"/>
          </w:tcPr>
          <w:p w14:paraId="261F6815" w14:textId="77777777" w:rsidR="00105561" w:rsidRDefault="00000000">
            <w:pPr>
              <w:keepNext/>
              <w:keepLines/>
              <w:spacing w:after="0" w:line="240" w:lineRule="auto"/>
            </w:pPr>
            <w:r>
              <w:rPr>
                <w:sz w:val="18"/>
              </w:rPr>
              <w:t>29</w:t>
            </w:r>
          </w:p>
        </w:tc>
        <w:tc>
          <w:tcPr>
            <w:tcW w:w="3180" w:type="dxa"/>
            <w:tcMar>
              <w:top w:w="0" w:type="dxa"/>
              <w:bottom w:w="0" w:type="dxa"/>
            </w:tcMar>
            <w:vAlign w:val="center"/>
          </w:tcPr>
          <w:p w14:paraId="1DE8C5D2" w14:textId="77777777" w:rsidR="00105561" w:rsidRDefault="00000000">
            <w:pPr>
              <w:keepNext/>
              <w:keepLines/>
              <w:spacing w:after="0" w:line="240" w:lineRule="auto"/>
            </w:pPr>
            <w:r>
              <w:rPr>
                <w:sz w:val="18"/>
              </w:rPr>
              <w:t>Odgođeno plaćanje rashoda i prihodi budućih razdoblja (pasivna vremenska razgraničenja) (šifre 291+292)</w:t>
            </w:r>
          </w:p>
        </w:tc>
        <w:tc>
          <w:tcPr>
            <w:tcW w:w="700" w:type="dxa"/>
            <w:tcMar>
              <w:top w:w="0" w:type="dxa"/>
              <w:bottom w:w="0" w:type="dxa"/>
            </w:tcMar>
            <w:vAlign w:val="center"/>
          </w:tcPr>
          <w:p w14:paraId="05F9DB1D" w14:textId="77777777" w:rsidR="00105561" w:rsidRDefault="00000000">
            <w:pPr>
              <w:keepNext/>
              <w:keepLines/>
              <w:spacing w:after="0" w:line="240" w:lineRule="auto"/>
            </w:pPr>
            <w:r>
              <w:rPr>
                <w:sz w:val="18"/>
              </w:rPr>
              <w:t>29</w:t>
            </w:r>
          </w:p>
        </w:tc>
        <w:tc>
          <w:tcPr>
            <w:tcW w:w="1860" w:type="dxa"/>
            <w:tcMar>
              <w:top w:w="0" w:type="dxa"/>
              <w:bottom w:w="0" w:type="dxa"/>
            </w:tcMar>
            <w:vAlign w:val="center"/>
          </w:tcPr>
          <w:p w14:paraId="5D57A87F" w14:textId="77777777" w:rsidR="00105561" w:rsidRDefault="00000000">
            <w:pPr>
              <w:keepNext/>
              <w:keepLines/>
              <w:spacing w:after="0" w:line="240" w:lineRule="auto"/>
              <w:jc w:val="right"/>
            </w:pPr>
            <w:r>
              <w:rPr>
                <w:sz w:val="18"/>
              </w:rPr>
              <w:t>588.351,50</w:t>
            </w:r>
          </w:p>
        </w:tc>
        <w:tc>
          <w:tcPr>
            <w:tcW w:w="1860" w:type="dxa"/>
            <w:tcMar>
              <w:top w:w="0" w:type="dxa"/>
              <w:bottom w:w="0" w:type="dxa"/>
            </w:tcMar>
            <w:vAlign w:val="center"/>
          </w:tcPr>
          <w:p w14:paraId="06E7FC7D" w14:textId="77777777" w:rsidR="00105561" w:rsidRDefault="00000000">
            <w:pPr>
              <w:keepNext/>
              <w:keepLines/>
              <w:spacing w:after="0" w:line="240" w:lineRule="auto"/>
              <w:jc w:val="right"/>
            </w:pPr>
            <w:r>
              <w:rPr>
                <w:sz w:val="18"/>
              </w:rPr>
              <w:t>611.652,49</w:t>
            </w:r>
          </w:p>
        </w:tc>
        <w:tc>
          <w:tcPr>
            <w:tcW w:w="700" w:type="dxa"/>
            <w:tcMar>
              <w:top w:w="0" w:type="dxa"/>
              <w:bottom w:w="0" w:type="dxa"/>
            </w:tcMar>
            <w:vAlign w:val="center"/>
          </w:tcPr>
          <w:p w14:paraId="0CCDED8D" w14:textId="77777777" w:rsidR="00105561" w:rsidRDefault="00000000">
            <w:pPr>
              <w:keepNext/>
              <w:keepLines/>
              <w:spacing w:after="0" w:line="240" w:lineRule="auto"/>
              <w:jc w:val="right"/>
            </w:pPr>
            <w:r>
              <w:rPr>
                <w:sz w:val="18"/>
              </w:rPr>
              <w:t>104,0</w:t>
            </w:r>
          </w:p>
        </w:tc>
      </w:tr>
    </w:tbl>
    <w:p w14:paraId="672F7F90" w14:textId="77777777" w:rsidR="00105561" w:rsidRDefault="00105561">
      <w:pPr>
        <w:spacing w:after="0"/>
      </w:pPr>
    </w:p>
    <w:p w14:paraId="243DB5F1" w14:textId="77777777" w:rsidR="00105561" w:rsidRDefault="00000000">
      <w:pPr>
        <w:jc w:val="both"/>
      </w:pPr>
      <w:r>
        <w:t>Prihodi budućih razdoblja u iznosu od 611.652,49 eura odnose se na vremenska razgraničenja školarina i prihoda od posebnog programa obrazovanja za pomorce. </w:t>
      </w:r>
    </w:p>
    <w:p w14:paraId="6E79B757" w14:textId="77777777" w:rsidR="00105561" w:rsidRDefault="00105561"/>
    <w:p w14:paraId="4E7B67CF" w14:textId="77777777" w:rsidR="00105561" w:rsidRDefault="00000000">
      <w:pPr>
        <w:keepNext/>
        <w:spacing w:line="240" w:lineRule="auto"/>
        <w:jc w:val="center"/>
      </w:pPr>
      <w:r>
        <w:rPr>
          <w:sz w:val="28"/>
        </w:rPr>
        <w:t>Bilješka 57.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05561" w14:paraId="0B1D38E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F4A5CEB" w14:textId="77777777" w:rsidR="00105561"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2DB92B8" w14:textId="77777777" w:rsidR="00105561"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C984D53" w14:textId="77777777" w:rsidR="00105561"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9DB30A2" w14:textId="77777777" w:rsidR="00105561"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78E59BA1" w14:textId="77777777" w:rsidR="00105561"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1B905518" w14:textId="77777777" w:rsidR="00105561" w:rsidRDefault="00000000">
            <w:pPr>
              <w:keepNext/>
              <w:keepLines/>
              <w:spacing w:after="0" w:line="240" w:lineRule="auto"/>
              <w:jc w:val="center"/>
            </w:pPr>
            <w:r>
              <w:rPr>
                <w:b/>
                <w:sz w:val="18"/>
              </w:rPr>
              <w:t>Indeks (%)</w:t>
            </w:r>
          </w:p>
        </w:tc>
      </w:tr>
      <w:tr w:rsidR="00105561" w14:paraId="150841FA" w14:textId="77777777">
        <w:tblPrEx>
          <w:tblCellMar>
            <w:top w:w="0" w:type="dxa"/>
            <w:bottom w:w="0" w:type="dxa"/>
          </w:tblCellMar>
        </w:tblPrEx>
        <w:trPr>
          <w:cantSplit/>
          <w:trHeight w:val="560"/>
        </w:trPr>
        <w:tc>
          <w:tcPr>
            <w:tcW w:w="700" w:type="dxa"/>
            <w:tcMar>
              <w:top w:w="0" w:type="dxa"/>
              <w:bottom w:w="0" w:type="dxa"/>
            </w:tcMar>
            <w:vAlign w:val="center"/>
          </w:tcPr>
          <w:p w14:paraId="7B1C14A8" w14:textId="77777777" w:rsidR="00105561" w:rsidRDefault="00000000">
            <w:pPr>
              <w:keepNext/>
              <w:keepLines/>
              <w:spacing w:after="0" w:line="240" w:lineRule="auto"/>
            </w:pPr>
            <w:r>
              <w:rPr>
                <w:sz w:val="18"/>
              </w:rPr>
              <w:t>9222</w:t>
            </w:r>
          </w:p>
        </w:tc>
        <w:tc>
          <w:tcPr>
            <w:tcW w:w="3180" w:type="dxa"/>
            <w:tcMar>
              <w:top w:w="0" w:type="dxa"/>
              <w:bottom w:w="0" w:type="dxa"/>
            </w:tcMar>
            <w:vAlign w:val="center"/>
          </w:tcPr>
          <w:p w14:paraId="7F517A12" w14:textId="77777777" w:rsidR="00105561" w:rsidRDefault="00000000">
            <w:pPr>
              <w:keepNext/>
              <w:keepLines/>
              <w:spacing w:after="0" w:line="240" w:lineRule="auto"/>
            </w:pPr>
            <w:r>
              <w:rPr>
                <w:sz w:val="18"/>
              </w:rPr>
              <w:t>Manjak prihoda i primitaka (šifre 92221 do 92223)</w:t>
            </w:r>
          </w:p>
        </w:tc>
        <w:tc>
          <w:tcPr>
            <w:tcW w:w="700" w:type="dxa"/>
            <w:tcMar>
              <w:top w:w="0" w:type="dxa"/>
              <w:bottom w:w="0" w:type="dxa"/>
            </w:tcMar>
            <w:vAlign w:val="center"/>
          </w:tcPr>
          <w:p w14:paraId="73C50D48" w14:textId="77777777" w:rsidR="00105561" w:rsidRDefault="00000000">
            <w:pPr>
              <w:keepNext/>
              <w:keepLines/>
              <w:spacing w:after="0" w:line="240" w:lineRule="auto"/>
            </w:pPr>
            <w:r>
              <w:rPr>
                <w:sz w:val="18"/>
              </w:rPr>
              <w:t>9222</w:t>
            </w:r>
          </w:p>
        </w:tc>
        <w:tc>
          <w:tcPr>
            <w:tcW w:w="1860" w:type="dxa"/>
            <w:tcMar>
              <w:top w:w="0" w:type="dxa"/>
              <w:bottom w:w="0" w:type="dxa"/>
            </w:tcMar>
            <w:vAlign w:val="center"/>
          </w:tcPr>
          <w:p w14:paraId="699B7006" w14:textId="77777777" w:rsidR="00105561" w:rsidRDefault="00000000">
            <w:pPr>
              <w:keepNext/>
              <w:keepLines/>
              <w:spacing w:after="0" w:line="240" w:lineRule="auto"/>
              <w:jc w:val="right"/>
            </w:pPr>
            <w:r>
              <w:rPr>
                <w:sz w:val="18"/>
              </w:rPr>
              <w:t>183.986,75</w:t>
            </w:r>
          </w:p>
        </w:tc>
        <w:tc>
          <w:tcPr>
            <w:tcW w:w="1860" w:type="dxa"/>
            <w:tcMar>
              <w:top w:w="0" w:type="dxa"/>
              <w:bottom w:w="0" w:type="dxa"/>
            </w:tcMar>
            <w:vAlign w:val="center"/>
          </w:tcPr>
          <w:p w14:paraId="0B25938A" w14:textId="77777777" w:rsidR="00105561" w:rsidRDefault="00000000">
            <w:pPr>
              <w:keepNext/>
              <w:keepLines/>
              <w:spacing w:after="0" w:line="240" w:lineRule="auto"/>
              <w:jc w:val="right"/>
            </w:pPr>
            <w:r>
              <w:rPr>
                <w:sz w:val="18"/>
              </w:rPr>
              <w:t>308.445,51</w:t>
            </w:r>
          </w:p>
        </w:tc>
        <w:tc>
          <w:tcPr>
            <w:tcW w:w="700" w:type="dxa"/>
            <w:tcMar>
              <w:top w:w="0" w:type="dxa"/>
              <w:bottom w:w="0" w:type="dxa"/>
            </w:tcMar>
            <w:vAlign w:val="center"/>
          </w:tcPr>
          <w:p w14:paraId="3B99C430" w14:textId="77777777" w:rsidR="00105561" w:rsidRDefault="00000000">
            <w:pPr>
              <w:keepNext/>
              <w:keepLines/>
              <w:spacing w:after="0" w:line="240" w:lineRule="auto"/>
              <w:jc w:val="right"/>
            </w:pPr>
            <w:r>
              <w:rPr>
                <w:sz w:val="18"/>
              </w:rPr>
              <w:t>167,6</w:t>
            </w:r>
          </w:p>
        </w:tc>
      </w:tr>
    </w:tbl>
    <w:p w14:paraId="78D7D3CE" w14:textId="77777777" w:rsidR="00105561" w:rsidRDefault="00105561">
      <w:pPr>
        <w:spacing w:after="0"/>
      </w:pPr>
    </w:p>
    <w:p w14:paraId="0AE58AB0" w14:textId="77777777" w:rsidR="00105561" w:rsidRDefault="00000000">
      <w:r>
        <w:lastRenderedPageBreak/>
        <w:t>U nastavku se iskazuje pregled korekcija viškova/manjkova iz obrasca PR RAS u odnosu na iskazano stanje u Bilanci.</w:t>
      </w:r>
    </w:p>
    <w:tbl>
      <w:tblPr>
        <w:tblStyle w:val="TableGrid"/>
        <w:tblW w:w="5000" w:type="pct"/>
        <w:tblLook w:val="04A0" w:firstRow="1" w:lastRow="0" w:firstColumn="1" w:lastColumn="0" w:noHBand="0" w:noVBand="1"/>
      </w:tblPr>
      <w:tblGrid>
        <w:gridCol w:w="2180"/>
        <w:gridCol w:w="3484"/>
        <w:gridCol w:w="3398"/>
      </w:tblGrid>
      <w:tr w:rsidR="00105561" w14:paraId="33253BF2" w14:textId="77777777">
        <w:trPr>
          <w:trHeight w:val="542"/>
        </w:trPr>
        <w:tc>
          <w:tcPr>
            <w:tcW w:w="1202" w:type="pct"/>
            <w:vAlign w:val="center"/>
          </w:tcPr>
          <w:p w14:paraId="2306375D" w14:textId="77777777" w:rsidR="00105561" w:rsidRDefault="00000000">
            <w:r>
              <w:t>PR RAS</w:t>
            </w:r>
          </w:p>
        </w:tc>
        <w:tc>
          <w:tcPr>
            <w:tcW w:w="1922" w:type="pct"/>
            <w:vAlign w:val="center"/>
          </w:tcPr>
          <w:p w14:paraId="4086B1D1" w14:textId="77777777" w:rsidR="00105561" w:rsidRDefault="00000000">
            <w:r>
              <w:t>Manjak prihoda poslovanja</w:t>
            </w:r>
          </w:p>
        </w:tc>
        <w:tc>
          <w:tcPr>
            <w:tcW w:w="1875" w:type="pct"/>
            <w:vAlign w:val="center"/>
          </w:tcPr>
          <w:p w14:paraId="0A608043" w14:textId="77777777" w:rsidR="00105561" w:rsidRDefault="00000000">
            <w:pPr>
              <w:keepNext/>
              <w:jc w:val="right"/>
            </w:pPr>
            <w:r>
              <w:t>-195.917,81</w:t>
            </w:r>
          </w:p>
        </w:tc>
      </w:tr>
      <w:tr w:rsidR="00105561" w14:paraId="7285D52D" w14:textId="77777777">
        <w:trPr>
          <w:trHeight w:val="542"/>
        </w:trPr>
        <w:tc>
          <w:tcPr>
            <w:tcW w:w="1202" w:type="pct"/>
            <w:vAlign w:val="center"/>
          </w:tcPr>
          <w:p w14:paraId="36796FD5" w14:textId="77777777" w:rsidR="00105561" w:rsidRDefault="00000000">
            <w:r>
              <w:t>PR RAS</w:t>
            </w:r>
          </w:p>
        </w:tc>
        <w:tc>
          <w:tcPr>
            <w:tcW w:w="1922" w:type="pct"/>
            <w:vAlign w:val="center"/>
          </w:tcPr>
          <w:p w14:paraId="6BC40BB4" w14:textId="77777777" w:rsidR="00105561" w:rsidRDefault="00000000">
            <w:r>
              <w:t>Višak prihoda poslovanja - preneseni</w:t>
            </w:r>
          </w:p>
        </w:tc>
        <w:tc>
          <w:tcPr>
            <w:tcW w:w="1875" w:type="pct"/>
            <w:vAlign w:val="center"/>
          </w:tcPr>
          <w:p w14:paraId="5B01E39D" w14:textId="77777777" w:rsidR="00105561" w:rsidRDefault="00000000">
            <w:pPr>
              <w:keepNext/>
              <w:jc w:val="right"/>
            </w:pPr>
            <w:r>
              <w:t>146.220,09</w:t>
            </w:r>
          </w:p>
        </w:tc>
      </w:tr>
      <w:tr w:rsidR="00105561" w14:paraId="53633738" w14:textId="77777777">
        <w:trPr>
          <w:trHeight w:val="482"/>
        </w:trPr>
        <w:tc>
          <w:tcPr>
            <w:tcW w:w="1202" w:type="pct"/>
            <w:vAlign w:val="center"/>
          </w:tcPr>
          <w:p w14:paraId="135002B5" w14:textId="77777777" w:rsidR="00105561" w:rsidRDefault="00000000">
            <w:pPr>
              <w:keepNext/>
            </w:pPr>
            <w:r>
              <w:t> </w:t>
            </w:r>
          </w:p>
        </w:tc>
        <w:tc>
          <w:tcPr>
            <w:tcW w:w="1922" w:type="pct"/>
            <w:vAlign w:val="center"/>
          </w:tcPr>
          <w:p w14:paraId="7F8487D5" w14:textId="77777777" w:rsidR="00105561" w:rsidRDefault="00000000">
            <w:pPr>
              <w:keepNext/>
            </w:pPr>
            <w:r>
              <w:t>Višak prihoda poslovanja ukupno</w:t>
            </w:r>
          </w:p>
        </w:tc>
        <w:tc>
          <w:tcPr>
            <w:tcW w:w="1875" w:type="pct"/>
            <w:vAlign w:val="center"/>
          </w:tcPr>
          <w:p w14:paraId="1A5BEB6B" w14:textId="77777777" w:rsidR="00105561" w:rsidRDefault="00000000">
            <w:pPr>
              <w:keepNext/>
              <w:jc w:val="right"/>
            </w:pPr>
            <w:r>
              <w:t>-49.697,72</w:t>
            </w:r>
          </w:p>
        </w:tc>
      </w:tr>
      <w:tr w:rsidR="00105561" w14:paraId="259766A0" w14:textId="77777777">
        <w:trPr>
          <w:trHeight w:val="542"/>
        </w:trPr>
        <w:tc>
          <w:tcPr>
            <w:tcW w:w="1202" w:type="pct"/>
            <w:vAlign w:val="center"/>
          </w:tcPr>
          <w:p w14:paraId="204A46E6" w14:textId="77777777" w:rsidR="00105561" w:rsidRDefault="00000000">
            <w:r>
              <w:t> </w:t>
            </w:r>
          </w:p>
        </w:tc>
        <w:tc>
          <w:tcPr>
            <w:tcW w:w="1922" w:type="pct"/>
            <w:vAlign w:val="center"/>
          </w:tcPr>
          <w:p w14:paraId="5C8E9A14" w14:textId="77777777" w:rsidR="00105561" w:rsidRDefault="00000000">
            <w:r>
              <w:t>Korekcija rezultata za ostvarene kapitalne prihode</w:t>
            </w:r>
          </w:p>
        </w:tc>
        <w:tc>
          <w:tcPr>
            <w:tcW w:w="1875" w:type="pct"/>
            <w:vAlign w:val="center"/>
          </w:tcPr>
          <w:p w14:paraId="65B9D7C4" w14:textId="77777777" w:rsidR="00105561" w:rsidRDefault="00000000">
            <w:pPr>
              <w:keepNext/>
              <w:jc w:val="right"/>
            </w:pPr>
            <w:r>
              <w:t>-201.074,06</w:t>
            </w:r>
          </w:p>
        </w:tc>
      </w:tr>
      <w:tr w:rsidR="00105561" w14:paraId="2E60FC31" w14:textId="77777777">
        <w:trPr>
          <w:trHeight w:val="542"/>
        </w:trPr>
        <w:tc>
          <w:tcPr>
            <w:tcW w:w="1202" w:type="pct"/>
            <w:vAlign w:val="center"/>
          </w:tcPr>
          <w:p w14:paraId="3C48DB98" w14:textId="77777777" w:rsidR="00105561" w:rsidRDefault="00000000">
            <w:r>
              <w:t>BILANCA</w:t>
            </w:r>
          </w:p>
        </w:tc>
        <w:tc>
          <w:tcPr>
            <w:tcW w:w="1922" w:type="pct"/>
            <w:vAlign w:val="center"/>
          </w:tcPr>
          <w:p w14:paraId="521D3D65" w14:textId="77777777" w:rsidR="00105561" w:rsidRDefault="00000000">
            <w:pPr>
              <w:keepNext/>
              <w:jc w:val="right"/>
            </w:pPr>
            <w:r>
              <w:rPr>
                <w:b/>
              </w:rPr>
              <w:t>Manjak prihoda poslovanja</w:t>
            </w:r>
          </w:p>
        </w:tc>
        <w:tc>
          <w:tcPr>
            <w:tcW w:w="1875" w:type="pct"/>
            <w:vAlign w:val="center"/>
          </w:tcPr>
          <w:p w14:paraId="46C92A1A" w14:textId="77777777" w:rsidR="00105561" w:rsidRDefault="00000000">
            <w:pPr>
              <w:keepNext/>
              <w:jc w:val="right"/>
            </w:pPr>
            <w:r>
              <w:t>-250.771,06</w:t>
            </w:r>
          </w:p>
        </w:tc>
      </w:tr>
      <w:tr w:rsidR="00105561" w14:paraId="67F18534" w14:textId="77777777">
        <w:trPr>
          <w:trHeight w:val="542"/>
        </w:trPr>
        <w:tc>
          <w:tcPr>
            <w:tcW w:w="1202" w:type="pct"/>
            <w:vAlign w:val="center"/>
          </w:tcPr>
          <w:p w14:paraId="59B7A7FC" w14:textId="77777777" w:rsidR="00105561" w:rsidRDefault="00000000">
            <w:r>
              <w:t>PR RAS</w:t>
            </w:r>
          </w:p>
        </w:tc>
        <w:tc>
          <w:tcPr>
            <w:tcW w:w="1922" w:type="pct"/>
            <w:vAlign w:val="center"/>
          </w:tcPr>
          <w:p w14:paraId="75B4539F" w14:textId="77777777" w:rsidR="00105561" w:rsidRDefault="00000000">
            <w:r>
              <w:t>Manjak prihoda od nefinancijske imovine</w:t>
            </w:r>
          </w:p>
        </w:tc>
        <w:tc>
          <w:tcPr>
            <w:tcW w:w="1875" w:type="pct"/>
            <w:vAlign w:val="center"/>
          </w:tcPr>
          <w:p w14:paraId="21F8FC3D" w14:textId="77777777" w:rsidR="00105561" w:rsidRDefault="00000000">
            <w:pPr>
              <w:keepNext/>
              <w:jc w:val="right"/>
            </w:pPr>
            <w:r>
              <w:t>-258.748,51</w:t>
            </w:r>
          </w:p>
        </w:tc>
      </w:tr>
      <w:tr w:rsidR="00105561" w14:paraId="42D62115" w14:textId="77777777">
        <w:trPr>
          <w:trHeight w:val="542"/>
        </w:trPr>
        <w:tc>
          <w:tcPr>
            <w:tcW w:w="1202" w:type="pct"/>
            <w:vAlign w:val="center"/>
          </w:tcPr>
          <w:p w14:paraId="378FFBF3" w14:textId="77777777" w:rsidR="00105561" w:rsidRDefault="00000000">
            <w:pPr>
              <w:keepNext/>
              <w:jc w:val="right"/>
            </w:pPr>
            <w:r>
              <w:t>PR RAS</w:t>
            </w:r>
          </w:p>
        </w:tc>
        <w:tc>
          <w:tcPr>
            <w:tcW w:w="1922" w:type="pct"/>
            <w:vAlign w:val="center"/>
          </w:tcPr>
          <w:p w14:paraId="29C16DE0" w14:textId="77777777" w:rsidR="00105561" w:rsidRDefault="00000000">
            <w:pPr>
              <w:keepNext/>
              <w:jc w:val="right"/>
            </w:pPr>
            <w:r>
              <w:t>Manjak prihoda od nefinancijske imovine - preneseni</w:t>
            </w:r>
          </w:p>
        </w:tc>
        <w:tc>
          <w:tcPr>
            <w:tcW w:w="1875" w:type="pct"/>
            <w:vAlign w:val="center"/>
          </w:tcPr>
          <w:p w14:paraId="7CA0E09F" w14:textId="77777777" w:rsidR="00105561" w:rsidRDefault="00000000">
            <w:pPr>
              <w:keepNext/>
              <w:jc w:val="right"/>
            </w:pPr>
            <w:r>
              <w:t>0</w:t>
            </w:r>
          </w:p>
        </w:tc>
      </w:tr>
      <w:tr w:rsidR="00105561" w14:paraId="7F756BA3" w14:textId="77777777">
        <w:trPr>
          <w:trHeight w:val="542"/>
        </w:trPr>
        <w:tc>
          <w:tcPr>
            <w:tcW w:w="1202" w:type="pct"/>
            <w:vAlign w:val="center"/>
          </w:tcPr>
          <w:p w14:paraId="2BBFFD12" w14:textId="77777777" w:rsidR="00105561" w:rsidRDefault="00000000">
            <w:pPr>
              <w:keepNext/>
              <w:jc w:val="right"/>
            </w:pPr>
            <w:r>
              <w:t> </w:t>
            </w:r>
          </w:p>
        </w:tc>
        <w:tc>
          <w:tcPr>
            <w:tcW w:w="1922" w:type="pct"/>
            <w:vAlign w:val="center"/>
          </w:tcPr>
          <w:p w14:paraId="7F5C583A" w14:textId="77777777" w:rsidR="00105561" w:rsidRDefault="00000000">
            <w:pPr>
              <w:keepNext/>
              <w:jc w:val="right"/>
            </w:pPr>
            <w:r>
              <w:t>Korekcija za ostvarene kapitalne prihode</w:t>
            </w:r>
          </w:p>
        </w:tc>
        <w:tc>
          <w:tcPr>
            <w:tcW w:w="1875" w:type="pct"/>
            <w:vAlign w:val="center"/>
          </w:tcPr>
          <w:p w14:paraId="14B1AE39" w14:textId="77777777" w:rsidR="00105561" w:rsidRDefault="00000000">
            <w:pPr>
              <w:keepNext/>
              <w:jc w:val="right"/>
            </w:pPr>
            <w:r>
              <w:t>201.074,06</w:t>
            </w:r>
          </w:p>
        </w:tc>
      </w:tr>
      <w:tr w:rsidR="00105561" w14:paraId="02B72A02" w14:textId="77777777">
        <w:trPr>
          <w:trHeight w:val="542"/>
        </w:trPr>
        <w:tc>
          <w:tcPr>
            <w:tcW w:w="1202" w:type="pct"/>
            <w:vAlign w:val="center"/>
          </w:tcPr>
          <w:p w14:paraId="56AF4F7D" w14:textId="77777777" w:rsidR="00105561" w:rsidRDefault="00000000">
            <w:pPr>
              <w:keepNext/>
              <w:jc w:val="right"/>
            </w:pPr>
            <w:r>
              <w:t>BILANCA</w:t>
            </w:r>
          </w:p>
        </w:tc>
        <w:tc>
          <w:tcPr>
            <w:tcW w:w="1922" w:type="pct"/>
            <w:vAlign w:val="center"/>
          </w:tcPr>
          <w:p w14:paraId="1E89513E" w14:textId="77777777" w:rsidR="00105561" w:rsidRDefault="00000000">
            <w:pPr>
              <w:keepNext/>
              <w:jc w:val="right"/>
            </w:pPr>
            <w:r>
              <w:rPr>
                <w:b/>
              </w:rPr>
              <w:t>Manjak prihoda od nefinancijske imovine</w:t>
            </w:r>
          </w:p>
        </w:tc>
        <w:tc>
          <w:tcPr>
            <w:tcW w:w="1875" w:type="pct"/>
            <w:vAlign w:val="center"/>
          </w:tcPr>
          <w:p w14:paraId="14FE8168" w14:textId="77777777" w:rsidR="00105561" w:rsidRDefault="00000000">
            <w:pPr>
              <w:keepNext/>
              <w:jc w:val="right"/>
            </w:pPr>
            <w:r>
              <w:t>-57.674,45</w:t>
            </w:r>
          </w:p>
        </w:tc>
      </w:tr>
      <w:tr w:rsidR="00105561" w14:paraId="705BA153" w14:textId="77777777">
        <w:trPr>
          <w:trHeight w:val="542"/>
        </w:trPr>
        <w:tc>
          <w:tcPr>
            <w:tcW w:w="1202" w:type="pct"/>
            <w:vAlign w:val="center"/>
          </w:tcPr>
          <w:p w14:paraId="47D33D2F" w14:textId="77777777" w:rsidR="00105561" w:rsidRDefault="00000000">
            <w:pPr>
              <w:keepNext/>
              <w:jc w:val="right"/>
            </w:pPr>
            <w:r>
              <w:t> </w:t>
            </w:r>
          </w:p>
        </w:tc>
        <w:tc>
          <w:tcPr>
            <w:tcW w:w="1922" w:type="pct"/>
            <w:vAlign w:val="center"/>
          </w:tcPr>
          <w:p w14:paraId="0DDEFF3C" w14:textId="77777777" w:rsidR="00105561" w:rsidRDefault="00000000">
            <w:pPr>
              <w:keepNext/>
              <w:jc w:val="right"/>
            </w:pPr>
            <w:r>
              <w:rPr>
                <w:b/>
              </w:rPr>
              <w:t>MANJAK PRIHODA I PRIMITAKA</w:t>
            </w:r>
          </w:p>
        </w:tc>
        <w:tc>
          <w:tcPr>
            <w:tcW w:w="1875" w:type="pct"/>
            <w:vAlign w:val="center"/>
          </w:tcPr>
          <w:p w14:paraId="3EF24C08" w14:textId="77777777" w:rsidR="00105561" w:rsidRDefault="00000000">
            <w:pPr>
              <w:keepNext/>
              <w:jc w:val="right"/>
            </w:pPr>
            <w:r>
              <w:rPr>
                <w:b/>
              </w:rPr>
              <w:t>-308.445,51</w:t>
            </w:r>
          </w:p>
        </w:tc>
      </w:tr>
    </w:tbl>
    <w:p w14:paraId="0648E5DE" w14:textId="77777777" w:rsidR="00105561" w:rsidRDefault="00000000">
      <w:pPr>
        <w:jc w:val="right"/>
      </w:pPr>
      <w:r>
        <w:t> </w:t>
      </w:r>
    </w:p>
    <w:p w14:paraId="35A71ABD" w14:textId="77777777" w:rsidR="00105561" w:rsidRDefault="00000000">
      <w:r>
        <w:t>Na ostvareni manjak prihoda najviše je utjecalo evidentiranje 13 (trinaest) rashoda za zaposlene u iznosu 378.835,05 eura. </w:t>
      </w:r>
    </w:p>
    <w:p w14:paraId="66B99B20" w14:textId="77777777" w:rsidR="00105561" w:rsidRDefault="00000000">
      <w:r>
        <w:t>Obvezna korekcija rezultata za kapitalne prijenose sredstava koji su utrošeni za nabavu dugotrajne nefinancijske imovine uključuje: </w:t>
      </w:r>
    </w:p>
    <w:p w14:paraId="79810BFD" w14:textId="77777777" w:rsidR="00105561" w:rsidRDefault="00000000">
      <w:r>
        <w:t>6312 Kapitalne pomoći od inozemnih vlada  u iznosu 3.044,00 za nabavu nefinancijske imovine za EU projekt</w:t>
      </w:r>
    </w:p>
    <w:p w14:paraId="66B5E24B" w14:textId="77777777" w:rsidR="00105561" w:rsidRDefault="00000000">
      <w:r>
        <w:t>6712 Prihode iz proračuna za nabavu nefinancijske imovine u iznosu 197.434,68 eura </w:t>
      </w:r>
    </w:p>
    <w:p w14:paraId="6AB73AF9" w14:textId="77777777" w:rsidR="00105561" w:rsidRDefault="00000000">
      <w:r>
        <w:t>6632 Prihodi od kapitalnih donacije odnose se na nabavu knjiga i časopisa putem donacije od neproračunskih korisnika u iznosu od 595,38 eura </w:t>
      </w:r>
    </w:p>
    <w:p w14:paraId="125E5999" w14:textId="77777777" w:rsidR="00105561" w:rsidRDefault="00105561"/>
    <w:p w14:paraId="489FEEB7" w14:textId="77777777" w:rsidR="00105561" w:rsidRDefault="00000000">
      <w:pPr>
        <w:keepNext/>
        <w:spacing w:line="240" w:lineRule="auto"/>
        <w:jc w:val="center"/>
      </w:pPr>
      <w:r>
        <w:rPr>
          <w:sz w:val="28"/>
        </w:rPr>
        <w:t>Bilješka 58.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05561" w14:paraId="4CC714E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A95BBCC" w14:textId="77777777" w:rsidR="00105561"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D52485E" w14:textId="77777777" w:rsidR="00105561"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8AF0E05" w14:textId="77777777" w:rsidR="00105561"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EB9C7C8" w14:textId="77777777" w:rsidR="00105561"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68322822" w14:textId="77777777" w:rsidR="00105561"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673A9084" w14:textId="77777777" w:rsidR="00105561" w:rsidRDefault="00000000">
            <w:pPr>
              <w:keepNext/>
              <w:keepLines/>
              <w:spacing w:after="0" w:line="240" w:lineRule="auto"/>
              <w:jc w:val="center"/>
            </w:pPr>
            <w:r>
              <w:rPr>
                <w:b/>
                <w:sz w:val="18"/>
              </w:rPr>
              <w:t>Indeks (%)</w:t>
            </w:r>
          </w:p>
        </w:tc>
      </w:tr>
      <w:tr w:rsidR="00105561" w14:paraId="771774FE" w14:textId="77777777">
        <w:tblPrEx>
          <w:tblCellMar>
            <w:top w:w="0" w:type="dxa"/>
            <w:bottom w:w="0" w:type="dxa"/>
          </w:tblCellMar>
        </w:tblPrEx>
        <w:trPr>
          <w:cantSplit/>
          <w:trHeight w:val="560"/>
        </w:trPr>
        <w:tc>
          <w:tcPr>
            <w:tcW w:w="700" w:type="dxa"/>
            <w:tcMar>
              <w:top w:w="0" w:type="dxa"/>
              <w:bottom w:w="0" w:type="dxa"/>
            </w:tcMar>
            <w:vAlign w:val="center"/>
          </w:tcPr>
          <w:p w14:paraId="0C7AEDC4" w14:textId="77777777" w:rsidR="00105561" w:rsidRDefault="00000000">
            <w:pPr>
              <w:keepNext/>
              <w:keepLines/>
              <w:spacing w:after="0" w:line="240" w:lineRule="auto"/>
            </w:pPr>
            <w:r>
              <w:rPr>
                <w:sz w:val="18"/>
              </w:rPr>
              <w:t>9631</w:t>
            </w:r>
          </w:p>
        </w:tc>
        <w:tc>
          <w:tcPr>
            <w:tcW w:w="3180" w:type="dxa"/>
            <w:tcMar>
              <w:top w:w="0" w:type="dxa"/>
              <w:bottom w:w="0" w:type="dxa"/>
            </w:tcMar>
            <w:vAlign w:val="center"/>
          </w:tcPr>
          <w:p w14:paraId="630042FB" w14:textId="77777777" w:rsidR="00105561" w:rsidRDefault="00000000">
            <w:pPr>
              <w:keepNext/>
              <w:keepLines/>
              <w:spacing w:after="0" w:line="240" w:lineRule="auto"/>
            </w:pPr>
            <w:r>
              <w:rPr>
                <w:sz w:val="18"/>
              </w:rPr>
              <w:t>Pomoći od inozemnih vlada</w:t>
            </w:r>
          </w:p>
        </w:tc>
        <w:tc>
          <w:tcPr>
            <w:tcW w:w="700" w:type="dxa"/>
            <w:tcMar>
              <w:top w:w="0" w:type="dxa"/>
              <w:bottom w:w="0" w:type="dxa"/>
            </w:tcMar>
            <w:vAlign w:val="center"/>
          </w:tcPr>
          <w:p w14:paraId="1C167BAA" w14:textId="77777777" w:rsidR="00105561" w:rsidRDefault="00000000">
            <w:pPr>
              <w:keepNext/>
              <w:keepLines/>
              <w:spacing w:after="0" w:line="240" w:lineRule="auto"/>
            </w:pPr>
            <w:r>
              <w:rPr>
                <w:sz w:val="18"/>
              </w:rPr>
              <w:t>9631</w:t>
            </w:r>
          </w:p>
        </w:tc>
        <w:tc>
          <w:tcPr>
            <w:tcW w:w="1860" w:type="dxa"/>
            <w:tcMar>
              <w:top w:w="0" w:type="dxa"/>
              <w:bottom w:w="0" w:type="dxa"/>
            </w:tcMar>
            <w:vAlign w:val="center"/>
          </w:tcPr>
          <w:p w14:paraId="2592F27D" w14:textId="77777777" w:rsidR="00105561" w:rsidRDefault="00000000">
            <w:pPr>
              <w:keepNext/>
              <w:keepLines/>
              <w:spacing w:after="0" w:line="240" w:lineRule="auto"/>
              <w:jc w:val="right"/>
            </w:pPr>
            <w:r>
              <w:rPr>
                <w:sz w:val="18"/>
              </w:rPr>
              <w:t>0,00</w:t>
            </w:r>
          </w:p>
        </w:tc>
        <w:tc>
          <w:tcPr>
            <w:tcW w:w="1860" w:type="dxa"/>
            <w:tcMar>
              <w:top w:w="0" w:type="dxa"/>
              <w:bottom w:w="0" w:type="dxa"/>
            </w:tcMar>
            <w:vAlign w:val="center"/>
          </w:tcPr>
          <w:p w14:paraId="116D7510" w14:textId="77777777" w:rsidR="00105561" w:rsidRDefault="00000000">
            <w:pPr>
              <w:keepNext/>
              <w:keepLines/>
              <w:spacing w:after="0" w:line="240" w:lineRule="auto"/>
              <w:jc w:val="right"/>
            </w:pPr>
            <w:r>
              <w:rPr>
                <w:sz w:val="18"/>
              </w:rPr>
              <w:t>79.717,90</w:t>
            </w:r>
          </w:p>
        </w:tc>
        <w:tc>
          <w:tcPr>
            <w:tcW w:w="700" w:type="dxa"/>
            <w:tcMar>
              <w:top w:w="0" w:type="dxa"/>
              <w:bottom w:w="0" w:type="dxa"/>
            </w:tcMar>
            <w:vAlign w:val="center"/>
          </w:tcPr>
          <w:p w14:paraId="2F309D83" w14:textId="77777777" w:rsidR="00105561" w:rsidRDefault="00000000">
            <w:pPr>
              <w:keepNext/>
              <w:keepLines/>
              <w:spacing w:after="0" w:line="240" w:lineRule="auto"/>
              <w:jc w:val="right"/>
            </w:pPr>
            <w:r>
              <w:rPr>
                <w:sz w:val="18"/>
              </w:rPr>
              <w:t>-</w:t>
            </w:r>
          </w:p>
        </w:tc>
      </w:tr>
    </w:tbl>
    <w:p w14:paraId="59F01C46" w14:textId="77777777" w:rsidR="00105561" w:rsidRDefault="00105561">
      <w:pPr>
        <w:spacing w:after="0"/>
      </w:pPr>
    </w:p>
    <w:p w14:paraId="6B7987C3" w14:textId="77777777" w:rsidR="00105561" w:rsidRDefault="00000000">
      <w:r>
        <w:t xml:space="preserve">Obračunati prihod od pomoći od inozemnih vlada odnosi se na podnesene zahtjeve za nadoknadu sredstava za dva EU Interreg projekta Fred i Best4.0 (upravljačko tijelo u </w:t>
      </w:r>
      <w:r>
        <w:lastRenderedPageBreak/>
        <w:t>inozemstvu) u ukupnom iznosu od 79.717,90 eura. Sredstva stižu od partnera-nositelja projekta iz inozemstva.</w:t>
      </w:r>
    </w:p>
    <w:p w14:paraId="305A37FB" w14:textId="77777777" w:rsidR="00105561" w:rsidRDefault="00105561"/>
    <w:p w14:paraId="102260A4" w14:textId="77777777" w:rsidR="00105561" w:rsidRDefault="00000000">
      <w:pPr>
        <w:keepNext/>
        <w:spacing w:line="240" w:lineRule="auto"/>
        <w:jc w:val="center"/>
      </w:pPr>
      <w:r>
        <w:rPr>
          <w:sz w:val="28"/>
        </w:rPr>
        <w:t>Bilješka 59.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05561" w14:paraId="40C46B7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1E23FDC" w14:textId="77777777" w:rsidR="00105561"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FB88AF4" w14:textId="77777777" w:rsidR="00105561"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5B776AD" w14:textId="77777777" w:rsidR="00105561"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A50A1FC" w14:textId="77777777" w:rsidR="00105561"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02634A45" w14:textId="77777777" w:rsidR="00105561"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3624E726" w14:textId="77777777" w:rsidR="00105561" w:rsidRDefault="00000000">
            <w:pPr>
              <w:keepNext/>
              <w:keepLines/>
              <w:spacing w:after="0" w:line="240" w:lineRule="auto"/>
              <w:jc w:val="center"/>
            </w:pPr>
            <w:r>
              <w:rPr>
                <w:b/>
                <w:sz w:val="18"/>
              </w:rPr>
              <w:t>Indeks (%)</w:t>
            </w:r>
          </w:p>
        </w:tc>
      </w:tr>
      <w:tr w:rsidR="00105561" w14:paraId="623407B5" w14:textId="77777777">
        <w:tblPrEx>
          <w:tblCellMar>
            <w:top w:w="0" w:type="dxa"/>
            <w:bottom w:w="0" w:type="dxa"/>
          </w:tblCellMar>
        </w:tblPrEx>
        <w:trPr>
          <w:cantSplit/>
          <w:trHeight w:val="560"/>
        </w:trPr>
        <w:tc>
          <w:tcPr>
            <w:tcW w:w="700" w:type="dxa"/>
            <w:tcMar>
              <w:top w:w="0" w:type="dxa"/>
              <w:bottom w:w="0" w:type="dxa"/>
            </w:tcMar>
            <w:vAlign w:val="center"/>
          </w:tcPr>
          <w:p w14:paraId="4A5C33E3" w14:textId="77777777" w:rsidR="00105561" w:rsidRDefault="00000000">
            <w:pPr>
              <w:keepNext/>
              <w:keepLines/>
              <w:spacing w:after="0" w:line="240" w:lineRule="auto"/>
            </w:pPr>
            <w:r>
              <w:rPr>
                <w:sz w:val="18"/>
              </w:rPr>
              <w:t>dio 17</w:t>
            </w:r>
          </w:p>
        </w:tc>
        <w:tc>
          <w:tcPr>
            <w:tcW w:w="3180" w:type="dxa"/>
            <w:tcMar>
              <w:top w:w="0" w:type="dxa"/>
              <w:bottom w:w="0" w:type="dxa"/>
            </w:tcMar>
            <w:vAlign w:val="center"/>
          </w:tcPr>
          <w:p w14:paraId="4E3F5C03" w14:textId="77777777" w:rsidR="00105561" w:rsidRDefault="00000000">
            <w:pPr>
              <w:keepNext/>
              <w:keepLines/>
              <w:spacing w:after="0" w:line="240" w:lineRule="auto"/>
            </w:pPr>
            <w:r>
              <w:rPr>
                <w:sz w:val="18"/>
              </w:rPr>
              <w:t>Potraživanja od prodaje nefinancijske imovine - potraživanja za zajedničke prihode</w:t>
            </w:r>
          </w:p>
        </w:tc>
        <w:tc>
          <w:tcPr>
            <w:tcW w:w="700" w:type="dxa"/>
            <w:tcMar>
              <w:top w:w="0" w:type="dxa"/>
              <w:bottom w:w="0" w:type="dxa"/>
            </w:tcMar>
            <w:vAlign w:val="center"/>
          </w:tcPr>
          <w:p w14:paraId="6FB9C30B" w14:textId="77777777" w:rsidR="00105561" w:rsidRDefault="00000000">
            <w:pPr>
              <w:keepNext/>
              <w:keepLines/>
              <w:spacing w:after="0" w:line="240" w:lineRule="auto"/>
            </w:pPr>
            <w:r>
              <w:rPr>
                <w:sz w:val="18"/>
              </w:rPr>
              <w:t>dio 17 ZP</w:t>
            </w:r>
          </w:p>
        </w:tc>
        <w:tc>
          <w:tcPr>
            <w:tcW w:w="1860" w:type="dxa"/>
            <w:tcMar>
              <w:top w:w="0" w:type="dxa"/>
              <w:bottom w:w="0" w:type="dxa"/>
            </w:tcMar>
            <w:vAlign w:val="center"/>
          </w:tcPr>
          <w:p w14:paraId="447C62AD" w14:textId="77777777" w:rsidR="00105561" w:rsidRDefault="00000000">
            <w:pPr>
              <w:keepNext/>
              <w:keepLines/>
              <w:spacing w:after="0" w:line="240" w:lineRule="auto"/>
              <w:jc w:val="right"/>
            </w:pPr>
            <w:r>
              <w:rPr>
                <w:sz w:val="18"/>
              </w:rPr>
              <w:t>488,44</w:t>
            </w:r>
          </w:p>
        </w:tc>
        <w:tc>
          <w:tcPr>
            <w:tcW w:w="1860" w:type="dxa"/>
            <w:tcMar>
              <w:top w:w="0" w:type="dxa"/>
              <w:bottom w:w="0" w:type="dxa"/>
            </w:tcMar>
            <w:vAlign w:val="center"/>
          </w:tcPr>
          <w:p w14:paraId="72E24D0D" w14:textId="77777777" w:rsidR="00105561" w:rsidRDefault="00000000">
            <w:pPr>
              <w:keepNext/>
              <w:keepLines/>
              <w:spacing w:after="0" w:line="240" w:lineRule="auto"/>
              <w:jc w:val="right"/>
            </w:pPr>
            <w:r>
              <w:rPr>
                <w:sz w:val="18"/>
              </w:rPr>
              <w:t>105,14</w:t>
            </w:r>
          </w:p>
        </w:tc>
        <w:tc>
          <w:tcPr>
            <w:tcW w:w="700" w:type="dxa"/>
            <w:tcMar>
              <w:top w:w="0" w:type="dxa"/>
              <w:bottom w:w="0" w:type="dxa"/>
            </w:tcMar>
            <w:vAlign w:val="center"/>
          </w:tcPr>
          <w:p w14:paraId="6EB2F37D" w14:textId="77777777" w:rsidR="00105561" w:rsidRDefault="00000000">
            <w:pPr>
              <w:keepNext/>
              <w:keepLines/>
              <w:spacing w:after="0" w:line="240" w:lineRule="auto"/>
              <w:jc w:val="right"/>
            </w:pPr>
            <w:r>
              <w:rPr>
                <w:sz w:val="18"/>
              </w:rPr>
              <w:t>21,5</w:t>
            </w:r>
          </w:p>
        </w:tc>
      </w:tr>
    </w:tbl>
    <w:p w14:paraId="011889FE" w14:textId="77777777" w:rsidR="00105561" w:rsidRDefault="00105561">
      <w:pPr>
        <w:spacing w:after="0"/>
      </w:pPr>
    </w:p>
    <w:p w14:paraId="25728395" w14:textId="77777777" w:rsidR="00105561" w:rsidRDefault="00000000">
      <w:r>
        <w:t>Odnosi se na dio potraživanja od obročne prodaje stanova zaposlenicima Fakulteta od kojih se 65% uplaćuje u državni proračun temeljem Zakona o prodaji stanova na kojima postoji stanarsko pravo, a ostatak zadržava Fakultet. Tijekom 2026. godine preostala dva stana trebala bi u potpunosti biti otplaćena.</w:t>
      </w:r>
    </w:p>
    <w:p w14:paraId="352EA859" w14:textId="77777777" w:rsidR="00105561" w:rsidRDefault="00105561"/>
    <w:p w14:paraId="59FD2CAB" w14:textId="77777777" w:rsidR="00105561" w:rsidRDefault="00000000">
      <w:pPr>
        <w:keepNext/>
        <w:spacing w:line="240" w:lineRule="auto"/>
        <w:jc w:val="center"/>
      </w:pPr>
      <w:r>
        <w:rPr>
          <w:sz w:val="28"/>
        </w:rPr>
        <w:t>Bilješka 60.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05561" w14:paraId="645B2EA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0A78582" w14:textId="77777777" w:rsidR="00105561"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5B9A53F" w14:textId="77777777" w:rsidR="00105561"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E050D46" w14:textId="77777777" w:rsidR="00105561"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2DAF06C" w14:textId="77777777" w:rsidR="00105561"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54464FB3" w14:textId="77777777" w:rsidR="00105561"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286C7898" w14:textId="77777777" w:rsidR="00105561" w:rsidRDefault="00000000">
            <w:pPr>
              <w:keepNext/>
              <w:keepLines/>
              <w:spacing w:after="0" w:line="240" w:lineRule="auto"/>
              <w:jc w:val="center"/>
            </w:pPr>
            <w:r>
              <w:rPr>
                <w:b/>
                <w:sz w:val="18"/>
              </w:rPr>
              <w:t>Indeks (%)</w:t>
            </w:r>
          </w:p>
        </w:tc>
      </w:tr>
      <w:tr w:rsidR="00105561" w14:paraId="6E08B4BD" w14:textId="77777777">
        <w:tblPrEx>
          <w:tblCellMar>
            <w:top w:w="0" w:type="dxa"/>
            <w:bottom w:w="0" w:type="dxa"/>
          </w:tblCellMar>
        </w:tblPrEx>
        <w:trPr>
          <w:cantSplit/>
          <w:trHeight w:val="560"/>
        </w:trPr>
        <w:tc>
          <w:tcPr>
            <w:tcW w:w="700" w:type="dxa"/>
            <w:tcMar>
              <w:top w:w="0" w:type="dxa"/>
              <w:bottom w:w="0" w:type="dxa"/>
            </w:tcMar>
            <w:vAlign w:val="center"/>
          </w:tcPr>
          <w:p w14:paraId="1919381A" w14:textId="77777777" w:rsidR="00105561" w:rsidRDefault="00000000">
            <w:pPr>
              <w:keepNext/>
              <w:keepLines/>
              <w:spacing w:after="0" w:line="240" w:lineRule="auto"/>
            </w:pPr>
            <w:r>
              <w:rPr>
                <w:sz w:val="18"/>
              </w:rPr>
              <w:t>23954</w:t>
            </w:r>
          </w:p>
        </w:tc>
        <w:tc>
          <w:tcPr>
            <w:tcW w:w="3180" w:type="dxa"/>
            <w:tcMar>
              <w:top w:w="0" w:type="dxa"/>
              <w:bottom w:w="0" w:type="dxa"/>
            </w:tcMar>
            <w:vAlign w:val="center"/>
          </w:tcPr>
          <w:p w14:paraId="7789EDD9" w14:textId="77777777" w:rsidR="00105561" w:rsidRDefault="00000000">
            <w:pPr>
              <w:keepNext/>
              <w:keepLines/>
              <w:spacing w:after="0" w:line="240" w:lineRule="auto"/>
            </w:pPr>
            <w:r>
              <w:rPr>
                <w:sz w:val="18"/>
              </w:rPr>
              <w:t>Ostale nespomenute obveze</w:t>
            </w:r>
          </w:p>
        </w:tc>
        <w:tc>
          <w:tcPr>
            <w:tcW w:w="700" w:type="dxa"/>
            <w:tcMar>
              <w:top w:w="0" w:type="dxa"/>
              <w:bottom w:w="0" w:type="dxa"/>
            </w:tcMar>
            <w:vAlign w:val="center"/>
          </w:tcPr>
          <w:p w14:paraId="017684B6" w14:textId="77777777" w:rsidR="00105561" w:rsidRDefault="00000000">
            <w:pPr>
              <w:keepNext/>
              <w:keepLines/>
              <w:spacing w:after="0" w:line="240" w:lineRule="auto"/>
            </w:pPr>
            <w:r>
              <w:rPr>
                <w:sz w:val="18"/>
              </w:rPr>
              <w:t>23954</w:t>
            </w:r>
          </w:p>
        </w:tc>
        <w:tc>
          <w:tcPr>
            <w:tcW w:w="1860" w:type="dxa"/>
            <w:tcMar>
              <w:top w:w="0" w:type="dxa"/>
              <w:bottom w:w="0" w:type="dxa"/>
            </w:tcMar>
            <w:vAlign w:val="center"/>
          </w:tcPr>
          <w:p w14:paraId="3ACDFCBB" w14:textId="77777777" w:rsidR="00105561" w:rsidRDefault="00000000">
            <w:pPr>
              <w:keepNext/>
              <w:keepLines/>
              <w:spacing w:after="0" w:line="240" w:lineRule="auto"/>
              <w:jc w:val="right"/>
            </w:pPr>
            <w:r>
              <w:rPr>
                <w:sz w:val="18"/>
              </w:rPr>
              <w:t>1.343,26</w:t>
            </w:r>
          </w:p>
        </w:tc>
        <w:tc>
          <w:tcPr>
            <w:tcW w:w="1860" w:type="dxa"/>
            <w:tcMar>
              <w:top w:w="0" w:type="dxa"/>
              <w:bottom w:w="0" w:type="dxa"/>
            </w:tcMar>
            <w:vAlign w:val="center"/>
          </w:tcPr>
          <w:p w14:paraId="0B6557C5" w14:textId="77777777" w:rsidR="00105561" w:rsidRDefault="00000000">
            <w:pPr>
              <w:keepNext/>
              <w:keepLines/>
              <w:spacing w:after="0" w:line="240" w:lineRule="auto"/>
              <w:jc w:val="right"/>
            </w:pPr>
            <w:r>
              <w:rPr>
                <w:sz w:val="18"/>
              </w:rPr>
              <w:t>2.473,93</w:t>
            </w:r>
          </w:p>
        </w:tc>
        <w:tc>
          <w:tcPr>
            <w:tcW w:w="700" w:type="dxa"/>
            <w:tcMar>
              <w:top w:w="0" w:type="dxa"/>
              <w:bottom w:w="0" w:type="dxa"/>
            </w:tcMar>
            <w:vAlign w:val="center"/>
          </w:tcPr>
          <w:p w14:paraId="49E4EA98" w14:textId="77777777" w:rsidR="00105561" w:rsidRDefault="00000000">
            <w:pPr>
              <w:keepNext/>
              <w:keepLines/>
              <w:spacing w:after="0" w:line="240" w:lineRule="auto"/>
              <w:jc w:val="right"/>
            </w:pPr>
            <w:r>
              <w:rPr>
                <w:sz w:val="18"/>
              </w:rPr>
              <w:t>184,2</w:t>
            </w:r>
          </w:p>
        </w:tc>
      </w:tr>
    </w:tbl>
    <w:p w14:paraId="5F0AA999" w14:textId="77777777" w:rsidR="00105561" w:rsidRDefault="00105561">
      <w:pPr>
        <w:spacing w:after="0"/>
      </w:pPr>
    </w:p>
    <w:p w14:paraId="37194500" w14:textId="77777777" w:rsidR="00105561" w:rsidRDefault="00000000">
      <w:pPr>
        <w:jc w:val="both"/>
      </w:pPr>
      <w:r>
        <w:t>Ostale nespomenute obaveze su obveze za troškove nastale plaćanjem kreditnom karticom Fakulteta koje dospijevaju 15.01.2026.</w:t>
      </w:r>
    </w:p>
    <w:p w14:paraId="5F78D27C" w14:textId="77777777" w:rsidR="00105561" w:rsidRDefault="00105561"/>
    <w:p w14:paraId="392FD5CF" w14:textId="77777777" w:rsidR="00105561" w:rsidRDefault="00000000">
      <w:pPr>
        <w:keepNext/>
        <w:spacing w:line="240" w:lineRule="auto"/>
        <w:jc w:val="center"/>
      </w:pPr>
      <w:r>
        <w:rPr>
          <w:sz w:val="28"/>
        </w:rPr>
        <w:t>Bilješka 61.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05561" w14:paraId="45ABF8B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B2A3C37" w14:textId="77777777" w:rsidR="00105561"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E54F7E7" w14:textId="77777777" w:rsidR="00105561"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CB71E61" w14:textId="77777777" w:rsidR="00105561"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8153153" w14:textId="77777777" w:rsidR="00105561"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40121EEF" w14:textId="77777777" w:rsidR="00105561"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1239923D" w14:textId="77777777" w:rsidR="00105561" w:rsidRDefault="00000000">
            <w:pPr>
              <w:keepNext/>
              <w:keepLines/>
              <w:spacing w:after="0" w:line="240" w:lineRule="auto"/>
              <w:jc w:val="center"/>
            </w:pPr>
            <w:r>
              <w:rPr>
                <w:b/>
                <w:sz w:val="18"/>
              </w:rPr>
              <w:t>Indeks (%)</w:t>
            </w:r>
          </w:p>
        </w:tc>
      </w:tr>
      <w:tr w:rsidR="00105561" w14:paraId="5DAAC055" w14:textId="77777777">
        <w:tblPrEx>
          <w:tblCellMar>
            <w:top w:w="0" w:type="dxa"/>
            <w:bottom w:w="0" w:type="dxa"/>
          </w:tblCellMar>
        </w:tblPrEx>
        <w:trPr>
          <w:cantSplit/>
          <w:trHeight w:val="560"/>
        </w:trPr>
        <w:tc>
          <w:tcPr>
            <w:tcW w:w="700" w:type="dxa"/>
            <w:tcMar>
              <w:top w:w="0" w:type="dxa"/>
              <w:bottom w:w="0" w:type="dxa"/>
            </w:tcMar>
            <w:vAlign w:val="center"/>
          </w:tcPr>
          <w:p w14:paraId="7171540D" w14:textId="77777777" w:rsidR="00105561" w:rsidRDefault="00000000">
            <w:pPr>
              <w:keepNext/>
              <w:keepLines/>
              <w:spacing w:after="0" w:line="240" w:lineRule="auto"/>
            </w:pPr>
            <w:r>
              <w:rPr>
                <w:sz w:val="18"/>
              </w:rPr>
              <w:t>27111</w:t>
            </w:r>
          </w:p>
        </w:tc>
        <w:tc>
          <w:tcPr>
            <w:tcW w:w="3180" w:type="dxa"/>
            <w:tcMar>
              <w:top w:w="0" w:type="dxa"/>
              <w:bottom w:w="0" w:type="dxa"/>
            </w:tcMar>
            <w:vAlign w:val="center"/>
          </w:tcPr>
          <w:p w14:paraId="23B2732E" w14:textId="77777777" w:rsidR="00105561" w:rsidRDefault="00000000">
            <w:pPr>
              <w:keepNext/>
              <w:keepLines/>
              <w:spacing w:after="0" w:line="240" w:lineRule="auto"/>
            </w:pPr>
            <w:r>
              <w:rPr>
                <w:sz w:val="18"/>
              </w:rPr>
              <w:t>Obveze za predujmove</w:t>
            </w:r>
          </w:p>
        </w:tc>
        <w:tc>
          <w:tcPr>
            <w:tcW w:w="700" w:type="dxa"/>
            <w:tcMar>
              <w:top w:w="0" w:type="dxa"/>
              <w:bottom w:w="0" w:type="dxa"/>
            </w:tcMar>
            <w:vAlign w:val="center"/>
          </w:tcPr>
          <w:p w14:paraId="0FF97A50" w14:textId="77777777" w:rsidR="00105561" w:rsidRDefault="00000000">
            <w:pPr>
              <w:keepNext/>
              <w:keepLines/>
              <w:spacing w:after="0" w:line="240" w:lineRule="auto"/>
            </w:pPr>
            <w:r>
              <w:rPr>
                <w:sz w:val="18"/>
              </w:rPr>
              <w:t>27111</w:t>
            </w:r>
          </w:p>
        </w:tc>
        <w:tc>
          <w:tcPr>
            <w:tcW w:w="1860" w:type="dxa"/>
            <w:tcMar>
              <w:top w:w="0" w:type="dxa"/>
              <w:bottom w:w="0" w:type="dxa"/>
            </w:tcMar>
            <w:vAlign w:val="center"/>
          </w:tcPr>
          <w:p w14:paraId="70D6174A" w14:textId="77777777" w:rsidR="00105561" w:rsidRDefault="00000000">
            <w:pPr>
              <w:keepNext/>
              <w:keepLines/>
              <w:spacing w:after="0" w:line="240" w:lineRule="auto"/>
              <w:jc w:val="right"/>
            </w:pPr>
            <w:r>
              <w:rPr>
                <w:sz w:val="18"/>
              </w:rPr>
              <w:t>0,00</w:t>
            </w:r>
          </w:p>
        </w:tc>
        <w:tc>
          <w:tcPr>
            <w:tcW w:w="1860" w:type="dxa"/>
            <w:tcMar>
              <w:top w:w="0" w:type="dxa"/>
              <w:bottom w:w="0" w:type="dxa"/>
            </w:tcMar>
            <w:vAlign w:val="center"/>
          </w:tcPr>
          <w:p w14:paraId="604875FB" w14:textId="77777777" w:rsidR="00105561" w:rsidRDefault="00000000">
            <w:pPr>
              <w:keepNext/>
              <w:keepLines/>
              <w:spacing w:after="0" w:line="240" w:lineRule="auto"/>
              <w:jc w:val="right"/>
            </w:pPr>
            <w:r>
              <w:rPr>
                <w:sz w:val="18"/>
              </w:rPr>
              <w:t>16.681,32</w:t>
            </w:r>
          </w:p>
        </w:tc>
        <w:tc>
          <w:tcPr>
            <w:tcW w:w="700" w:type="dxa"/>
            <w:tcMar>
              <w:top w:w="0" w:type="dxa"/>
              <w:bottom w:w="0" w:type="dxa"/>
            </w:tcMar>
            <w:vAlign w:val="center"/>
          </w:tcPr>
          <w:p w14:paraId="56E30103" w14:textId="77777777" w:rsidR="00105561" w:rsidRDefault="00000000">
            <w:pPr>
              <w:keepNext/>
              <w:keepLines/>
              <w:spacing w:after="0" w:line="240" w:lineRule="auto"/>
              <w:jc w:val="right"/>
            </w:pPr>
            <w:r>
              <w:rPr>
                <w:sz w:val="18"/>
              </w:rPr>
              <w:t>-</w:t>
            </w:r>
          </w:p>
        </w:tc>
      </w:tr>
    </w:tbl>
    <w:p w14:paraId="7AA15A76" w14:textId="77777777" w:rsidR="00105561" w:rsidRDefault="00105561">
      <w:pPr>
        <w:spacing w:after="0"/>
      </w:pPr>
    </w:p>
    <w:p w14:paraId="1B185C0D" w14:textId="77777777" w:rsidR="00105561" w:rsidRDefault="00000000">
      <w:pPr>
        <w:jc w:val="both"/>
      </w:pPr>
      <w:r>
        <w:t>Obveze za predujmove studenata koji će pohađati nastavu na Zavodu za nautičke znanosti u sklopu programa mobilnosti financiranog od strane gruzijske Vlade u iznosu od 16.681,32 eura.</w:t>
      </w:r>
    </w:p>
    <w:p w14:paraId="109029E1" w14:textId="77777777" w:rsidR="00105561" w:rsidRDefault="00105561"/>
    <w:p w14:paraId="05A35756" w14:textId="77777777" w:rsidR="00105561" w:rsidRDefault="00000000">
      <w:pPr>
        <w:keepNext/>
        <w:spacing w:line="240" w:lineRule="auto"/>
        <w:jc w:val="center"/>
      </w:pPr>
      <w:r>
        <w:rPr>
          <w:sz w:val="28"/>
        </w:rPr>
        <w:lastRenderedPageBreak/>
        <w:t>Bilješka 62.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05561" w14:paraId="57F4BA6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65A335D" w14:textId="77777777" w:rsidR="00105561"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D716EAC" w14:textId="77777777" w:rsidR="00105561"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3AF87EF" w14:textId="77777777" w:rsidR="00105561"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FFED8A8" w14:textId="77777777" w:rsidR="00105561"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5ECA702F" w14:textId="77777777" w:rsidR="00105561"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173E9C09" w14:textId="77777777" w:rsidR="00105561" w:rsidRDefault="00000000">
            <w:pPr>
              <w:keepNext/>
              <w:keepLines/>
              <w:spacing w:after="0" w:line="240" w:lineRule="auto"/>
              <w:jc w:val="center"/>
            </w:pPr>
            <w:r>
              <w:rPr>
                <w:b/>
                <w:sz w:val="18"/>
              </w:rPr>
              <w:t>Indeks (%)</w:t>
            </w:r>
          </w:p>
        </w:tc>
      </w:tr>
      <w:tr w:rsidR="00105561" w14:paraId="7FDF2261" w14:textId="77777777">
        <w:tblPrEx>
          <w:tblCellMar>
            <w:top w:w="0" w:type="dxa"/>
            <w:bottom w:w="0" w:type="dxa"/>
          </w:tblCellMar>
        </w:tblPrEx>
        <w:trPr>
          <w:cantSplit/>
          <w:trHeight w:val="560"/>
        </w:trPr>
        <w:tc>
          <w:tcPr>
            <w:tcW w:w="700" w:type="dxa"/>
            <w:tcMar>
              <w:top w:w="0" w:type="dxa"/>
              <w:bottom w:w="0" w:type="dxa"/>
            </w:tcMar>
            <w:vAlign w:val="center"/>
          </w:tcPr>
          <w:p w14:paraId="629F8636" w14:textId="77777777" w:rsidR="00105561" w:rsidRDefault="00000000">
            <w:pPr>
              <w:keepNext/>
              <w:keepLines/>
              <w:spacing w:after="0" w:line="240" w:lineRule="auto"/>
            </w:pPr>
            <w:r>
              <w:rPr>
                <w:sz w:val="18"/>
              </w:rPr>
              <w:t>27212</w:t>
            </w:r>
          </w:p>
        </w:tc>
        <w:tc>
          <w:tcPr>
            <w:tcW w:w="3180" w:type="dxa"/>
            <w:tcMar>
              <w:top w:w="0" w:type="dxa"/>
              <w:bottom w:w="0" w:type="dxa"/>
            </w:tcMar>
            <w:vAlign w:val="center"/>
          </w:tcPr>
          <w:p w14:paraId="1CECB770" w14:textId="77777777" w:rsidR="00105561" w:rsidRDefault="00000000">
            <w:pPr>
              <w:keepNext/>
              <w:keepLines/>
              <w:spacing w:after="0" w:line="240" w:lineRule="auto"/>
            </w:pPr>
            <w:r>
              <w:rPr>
                <w:sz w:val="18"/>
              </w:rPr>
              <w:t>Obveze za jamčevne pologe</w:t>
            </w:r>
          </w:p>
        </w:tc>
        <w:tc>
          <w:tcPr>
            <w:tcW w:w="700" w:type="dxa"/>
            <w:tcMar>
              <w:top w:w="0" w:type="dxa"/>
              <w:bottom w:w="0" w:type="dxa"/>
            </w:tcMar>
            <w:vAlign w:val="center"/>
          </w:tcPr>
          <w:p w14:paraId="4045F3CB" w14:textId="77777777" w:rsidR="00105561" w:rsidRDefault="00000000">
            <w:pPr>
              <w:keepNext/>
              <w:keepLines/>
              <w:spacing w:after="0" w:line="240" w:lineRule="auto"/>
            </w:pPr>
            <w:r>
              <w:rPr>
                <w:sz w:val="18"/>
              </w:rPr>
              <w:t>27212</w:t>
            </w:r>
          </w:p>
        </w:tc>
        <w:tc>
          <w:tcPr>
            <w:tcW w:w="1860" w:type="dxa"/>
            <w:tcMar>
              <w:top w:w="0" w:type="dxa"/>
              <w:bottom w:w="0" w:type="dxa"/>
            </w:tcMar>
            <w:vAlign w:val="center"/>
          </w:tcPr>
          <w:p w14:paraId="56A67DC0" w14:textId="77777777" w:rsidR="00105561" w:rsidRDefault="00000000">
            <w:pPr>
              <w:keepNext/>
              <w:keepLines/>
              <w:spacing w:after="0" w:line="240" w:lineRule="auto"/>
              <w:jc w:val="right"/>
            </w:pPr>
            <w:r>
              <w:rPr>
                <w:sz w:val="18"/>
              </w:rPr>
              <w:t>0,00</w:t>
            </w:r>
          </w:p>
        </w:tc>
        <w:tc>
          <w:tcPr>
            <w:tcW w:w="1860" w:type="dxa"/>
            <w:tcMar>
              <w:top w:w="0" w:type="dxa"/>
              <w:bottom w:w="0" w:type="dxa"/>
            </w:tcMar>
            <w:vAlign w:val="center"/>
          </w:tcPr>
          <w:p w14:paraId="4C3301C5" w14:textId="77777777" w:rsidR="00105561" w:rsidRDefault="00000000">
            <w:pPr>
              <w:keepNext/>
              <w:keepLines/>
              <w:spacing w:after="0" w:line="240" w:lineRule="auto"/>
              <w:jc w:val="right"/>
            </w:pPr>
            <w:r>
              <w:rPr>
                <w:sz w:val="18"/>
              </w:rPr>
              <w:t>9.899,00</w:t>
            </w:r>
          </w:p>
        </w:tc>
        <w:tc>
          <w:tcPr>
            <w:tcW w:w="700" w:type="dxa"/>
            <w:tcMar>
              <w:top w:w="0" w:type="dxa"/>
              <w:bottom w:w="0" w:type="dxa"/>
            </w:tcMar>
            <w:vAlign w:val="center"/>
          </w:tcPr>
          <w:p w14:paraId="5BD7C64B" w14:textId="77777777" w:rsidR="00105561" w:rsidRDefault="00000000">
            <w:pPr>
              <w:keepNext/>
              <w:keepLines/>
              <w:spacing w:after="0" w:line="240" w:lineRule="auto"/>
              <w:jc w:val="right"/>
            </w:pPr>
            <w:r>
              <w:rPr>
                <w:sz w:val="18"/>
              </w:rPr>
              <w:t>-</w:t>
            </w:r>
          </w:p>
        </w:tc>
      </w:tr>
    </w:tbl>
    <w:p w14:paraId="2E36DC19" w14:textId="77777777" w:rsidR="00105561" w:rsidRDefault="00105561">
      <w:pPr>
        <w:spacing w:after="0"/>
      </w:pPr>
    </w:p>
    <w:p w14:paraId="09A6847A" w14:textId="77777777" w:rsidR="00105561" w:rsidRDefault="00000000">
      <w:r>
        <w:t>Obveze za jamčevne pologe su obveze za jamstva ponuditelja/izvršitelja u postupcima javne nabave. </w:t>
      </w:r>
    </w:p>
    <w:p w14:paraId="5434E42E" w14:textId="77777777" w:rsidR="00105561" w:rsidRDefault="00105561"/>
    <w:p w14:paraId="0C22AAD5" w14:textId="77777777" w:rsidR="00105561" w:rsidRDefault="00000000">
      <w:pPr>
        <w:keepNext/>
        <w:spacing w:line="240" w:lineRule="auto"/>
        <w:jc w:val="center"/>
      </w:pPr>
      <w:r>
        <w:rPr>
          <w:sz w:val="28"/>
        </w:rPr>
        <w:t>Bilješka 63.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05561" w14:paraId="5F56910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90052FF" w14:textId="77777777" w:rsidR="00105561"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C7CBB29" w14:textId="77777777" w:rsidR="00105561"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824C20D" w14:textId="77777777" w:rsidR="00105561"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535425E" w14:textId="77777777" w:rsidR="00105561"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073FDB3B" w14:textId="77777777" w:rsidR="00105561"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37CA1A0F" w14:textId="77777777" w:rsidR="00105561" w:rsidRDefault="00000000">
            <w:pPr>
              <w:keepNext/>
              <w:keepLines/>
              <w:spacing w:after="0" w:line="240" w:lineRule="auto"/>
              <w:jc w:val="center"/>
            </w:pPr>
            <w:r>
              <w:rPr>
                <w:b/>
                <w:sz w:val="18"/>
              </w:rPr>
              <w:t>Indeks (%)</w:t>
            </w:r>
          </w:p>
        </w:tc>
      </w:tr>
      <w:tr w:rsidR="00105561" w14:paraId="73BC73B4" w14:textId="77777777">
        <w:tblPrEx>
          <w:tblCellMar>
            <w:top w:w="0" w:type="dxa"/>
            <w:bottom w:w="0" w:type="dxa"/>
          </w:tblCellMar>
        </w:tblPrEx>
        <w:trPr>
          <w:cantSplit/>
          <w:trHeight w:val="560"/>
        </w:trPr>
        <w:tc>
          <w:tcPr>
            <w:tcW w:w="700" w:type="dxa"/>
            <w:tcMar>
              <w:top w:w="0" w:type="dxa"/>
              <w:bottom w:w="0" w:type="dxa"/>
            </w:tcMar>
            <w:vAlign w:val="center"/>
          </w:tcPr>
          <w:p w14:paraId="1707BD99" w14:textId="77777777" w:rsidR="00105561" w:rsidRDefault="00000000">
            <w:pPr>
              <w:keepNext/>
              <w:keepLines/>
              <w:spacing w:after="0" w:line="240" w:lineRule="auto"/>
            </w:pPr>
            <w:r>
              <w:rPr>
                <w:sz w:val="18"/>
              </w:rPr>
              <w:t>27311</w:t>
            </w:r>
          </w:p>
        </w:tc>
        <w:tc>
          <w:tcPr>
            <w:tcW w:w="3180" w:type="dxa"/>
            <w:tcMar>
              <w:top w:w="0" w:type="dxa"/>
              <w:bottom w:w="0" w:type="dxa"/>
            </w:tcMar>
            <w:vAlign w:val="center"/>
          </w:tcPr>
          <w:p w14:paraId="1F01658F" w14:textId="77777777" w:rsidR="00105561" w:rsidRDefault="00000000">
            <w:pPr>
              <w:keepNext/>
              <w:keepLines/>
              <w:spacing w:after="0" w:line="240" w:lineRule="auto"/>
            </w:pPr>
            <w:r>
              <w:rPr>
                <w:sz w:val="18"/>
              </w:rPr>
              <w:t>Obveze za naplaćene tuđe prihode</w:t>
            </w:r>
          </w:p>
        </w:tc>
        <w:tc>
          <w:tcPr>
            <w:tcW w:w="700" w:type="dxa"/>
            <w:tcMar>
              <w:top w:w="0" w:type="dxa"/>
              <w:bottom w:w="0" w:type="dxa"/>
            </w:tcMar>
            <w:vAlign w:val="center"/>
          </w:tcPr>
          <w:p w14:paraId="13A1E3A9" w14:textId="77777777" w:rsidR="00105561" w:rsidRDefault="00000000">
            <w:pPr>
              <w:keepNext/>
              <w:keepLines/>
              <w:spacing w:after="0" w:line="240" w:lineRule="auto"/>
            </w:pPr>
            <w:r>
              <w:rPr>
                <w:sz w:val="18"/>
              </w:rPr>
              <w:t>27311</w:t>
            </w:r>
          </w:p>
        </w:tc>
        <w:tc>
          <w:tcPr>
            <w:tcW w:w="1860" w:type="dxa"/>
            <w:tcMar>
              <w:top w:w="0" w:type="dxa"/>
              <w:bottom w:w="0" w:type="dxa"/>
            </w:tcMar>
            <w:vAlign w:val="center"/>
          </w:tcPr>
          <w:p w14:paraId="44A79386" w14:textId="77777777" w:rsidR="00105561" w:rsidRDefault="00000000">
            <w:pPr>
              <w:keepNext/>
              <w:keepLines/>
              <w:spacing w:after="0" w:line="240" w:lineRule="auto"/>
              <w:jc w:val="right"/>
            </w:pPr>
            <w:r>
              <w:rPr>
                <w:sz w:val="18"/>
              </w:rPr>
              <w:t>0,00</w:t>
            </w:r>
          </w:p>
        </w:tc>
        <w:tc>
          <w:tcPr>
            <w:tcW w:w="1860" w:type="dxa"/>
            <w:tcMar>
              <w:top w:w="0" w:type="dxa"/>
              <w:bottom w:w="0" w:type="dxa"/>
            </w:tcMar>
            <w:vAlign w:val="center"/>
          </w:tcPr>
          <w:p w14:paraId="6BD3604E" w14:textId="77777777" w:rsidR="00105561" w:rsidRDefault="00000000">
            <w:pPr>
              <w:keepNext/>
              <w:keepLines/>
              <w:spacing w:after="0" w:line="240" w:lineRule="auto"/>
              <w:jc w:val="right"/>
            </w:pPr>
            <w:r>
              <w:rPr>
                <w:sz w:val="18"/>
              </w:rPr>
              <w:t>46.824,42</w:t>
            </w:r>
          </w:p>
        </w:tc>
        <w:tc>
          <w:tcPr>
            <w:tcW w:w="700" w:type="dxa"/>
            <w:tcMar>
              <w:top w:w="0" w:type="dxa"/>
              <w:bottom w:w="0" w:type="dxa"/>
            </w:tcMar>
            <w:vAlign w:val="center"/>
          </w:tcPr>
          <w:p w14:paraId="27228E5E" w14:textId="77777777" w:rsidR="00105561" w:rsidRDefault="00000000">
            <w:pPr>
              <w:keepNext/>
              <w:keepLines/>
              <w:spacing w:after="0" w:line="240" w:lineRule="auto"/>
              <w:jc w:val="right"/>
            </w:pPr>
            <w:r>
              <w:rPr>
                <w:sz w:val="18"/>
              </w:rPr>
              <w:t>-</w:t>
            </w:r>
          </w:p>
        </w:tc>
      </w:tr>
    </w:tbl>
    <w:p w14:paraId="1FAFAC24" w14:textId="77777777" w:rsidR="00105561" w:rsidRDefault="00105561">
      <w:pPr>
        <w:spacing w:after="0"/>
      </w:pPr>
    </w:p>
    <w:p w14:paraId="316B9C59" w14:textId="77777777" w:rsidR="00105561" w:rsidRDefault="00000000">
      <w:r>
        <w:t>Obveze za naplaćene tuđe prihode su obveze prema Sveučilištu za sredstva upisnina i obveze prema državnom proračunu za 65% prihoda od prodaje državnih stanova na kojima postoji stanarsko pravo.</w:t>
      </w:r>
    </w:p>
    <w:p w14:paraId="0859CFD0" w14:textId="77777777" w:rsidR="00105561" w:rsidRDefault="00105561"/>
    <w:p w14:paraId="78860AFE" w14:textId="77777777" w:rsidR="00105561" w:rsidRDefault="00000000">
      <w:pPr>
        <w:keepNext/>
        <w:spacing w:line="240" w:lineRule="auto"/>
        <w:jc w:val="center"/>
      </w:pPr>
      <w:r>
        <w:rPr>
          <w:sz w:val="28"/>
        </w:rPr>
        <w:t>Bilješka 64.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05561" w14:paraId="2BBF3F7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960A776" w14:textId="77777777" w:rsidR="00105561"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C053701" w14:textId="77777777" w:rsidR="00105561"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F1BF2BD" w14:textId="77777777" w:rsidR="00105561"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E3BFA2D" w14:textId="77777777" w:rsidR="00105561"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1DF96F0F" w14:textId="77777777" w:rsidR="00105561"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05265CB5" w14:textId="77777777" w:rsidR="00105561" w:rsidRDefault="00000000">
            <w:pPr>
              <w:keepNext/>
              <w:keepLines/>
              <w:spacing w:after="0" w:line="240" w:lineRule="auto"/>
              <w:jc w:val="center"/>
            </w:pPr>
            <w:r>
              <w:rPr>
                <w:b/>
                <w:sz w:val="18"/>
              </w:rPr>
              <w:t>Indeks (%)</w:t>
            </w:r>
          </w:p>
        </w:tc>
      </w:tr>
      <w:tr w:rsidR="00105561" w14:paraId="6A1EE937" w14:textId="77777777">
        <w:tblPrEx>
          <w:tblCellMar>
            <w:top w:w="0" w:type="dxa"/>
            <w:bottom w:w="0" w:type="dxa"/>
          </w:tblCellMar>
        </w:tblPrEx>
        <w:trPr>
          <w:cantSplit/>
          <w:trHeight w:val="560"/>
        </w:trPr>
        <w:tc>
          <w:tcPr>
            <w:tcW w:w="700" w:type="dxa"/>
            <w:tcMar>
              <w:top w:w="0" w:type="dxa"/>
              <w:bottom w:w="0" w:type="dxa"/>
            </w:tcMar>
            <w:vAlign w:val="center"/>
          </w:tcPr>
          <w:p w14:paraId="62F22BB7" w14:textId="77777777" w:rsidR="00105561" w:rsidRDefault="00000000">
            <w:pPr>
              <w:keepNext/>
              <w:keepLines/>
              <w:spacing w:after="0" w:line="240" w:lineRule="auto"/>
            </w:pPr>
            <w:r>
              <w:rPr>
                <w:sz w:val="18"/>
              </w:rPr>
              <w:t>92224</w:t>
            </w:r>
          </w:p>
        </w:tc>
        <w:tc>
          <w:tcPr>
            <w:tcW w:w="3180" w:type="dxa"/>
            <w:tcMar>
              <w:top w:w="0" w:type="dxa"/>
              <w:bottom w:w="0" w:type="dxa"/>
            </w:tcMar>
            <w:vAlign w:val="center"/>
          </w:tcPr>
          <w:p w14:paraId="7F83FEDE" w14:textId="77777777" w:rsidR="00105561" w:rsidRDefault="00000000">
            <w:pPr>
              <w:keepNext/>
              <w:keepLines/>
              <w:spacing w:after="0" w:line="240" w:lineRule="auto"/>
            </w:pPr>
            <w:r>
              <w:rPr>
                <w:sz w:val="18"/>
              </w:rPr>
              <w:t>Manjak prihoda poslovanja - ispravci iz prethodnih razdoblja</w:t>
            </w:r>
          </w:p>
        </w:tc>
        <w:tc>
          <w:tcPr>
            <w:tcW w:w="700" w:type="dxa"/>
            <w:tcMar>
              <w:top w:w="0" w:type="dxa"/>
              <w:bottom w:w="0" w:type="dxa"/>
            </w:tcMar>
            <w:vAlign w:val="center"/>
          </w:tcPr>
          <w:p w14:paraId="05D5805D" w14:textId="77777777" w:rsidR="00105561" w:rsidRDefault="00000000">
            <w:pPr>
              <w:keepNext/>
              <w:keepLines/>
              <w:spacing w:after="0" w:line="240" w:lineRule="auto"/>
            </w:pPr>
            <w:r>
              <w:rPr>
                <w:sz w:val="18"/>
              </w:rPr>
              <w:t>92224</w:t>
            </w:r>
          </w:p>
        </w:tc>
        <w:tc>
          <w:tcPr>
            <w:tcW w:w="1860" w:type="dxa"/>
            <w:tcMar>
              <w:top w:w="0" w:type="dxa"/>
              <w:bottom w:w="0" w:type="dxa"/>
            </w:tcMar>
            <w:vAlign w:val="center"/>
          </w:tcPr>
          <w:p w14:paraId="6AAA310C" w14:textId="77777777" w:rsidR="00105561" w:rsidRDefault="00000000">
            <w:pPr>
              <w:keepNext/>
              <w:keepLines/>
              <w:spacing w:after="0" w:line="240" w:lineRule="auto"/>
              <w:jc w:val="right"/>
            </w:pPr>
            <w:r>
              <w:rPr>
                <w:sz w:val="18"/>
              </w:rPr>
              <w:t>3.909,28</w:t>
            </w:r>
          </w:p>
        </w:tc>
        <w:tc>
          <w:tcPr>
            <w:tcW w:w="1860" w:type="dxa"/>
            <w:tcMar>
              <w:top w:w="0" w:type="dxa"/>
              <w:bottom w:w="0" w:type="dxa"/>
            </w:tcMar>
            <w:vAlign w:val="center"/>
          </w:tcPr>
          <w:p w14:paraId="1E287B38" w14:textId="77777777" w:rsidR="00105561" w:rsidRDefault="00000000">
            <w:pPr>
              <w:keepNext/>
              <w:keepLines/>
              <w:spacing w:after="0" w:line="240" w:lineRule="auto"/>
              <w:jc w:val="right"/>
            </w:pPr>
            <w:r>
              <w:rPr>
                <w:sz w:val="18"/>
              </w:rPr>
              <w:t>0,00</w:t>
            </w:r>
          </w:p>
        </w:tc>
        <w:tc>
          <w:tcPr>
            <w:tcW w:w="700" w:type="dxa"/>
            <w:tcMar>
              <w:top w:w="0" w:type="dxa"/>
              <w:bottom w:w="0" w:type="dxa"/>
            </w:tcMar>
            <w:vAlign w:val="center"/>
          </w:tcPr>
          <w:p w14:paraId="120BCF5D" w14:textId="77777777" w:rsidR="00105561" w:rsidRDefault="00000000">
            <w:pPr>
              <w:keepNext/>
              <w:keepLines/>
              <w:spacing w:after="0" w:line="240" w:lineRule="auto"/>
              <w:jc w:val="right"/>
            </w:pPr>
            <w:r>
              <w:rPr>
                <w:sz w:val="18"/>
              </w:rPr>
              <w:t>0</w:t>
            </w:r>
          </w:p>
        </w:tc>
      </w:tr>
    </w:tbl>
    <w:p w14:paraId="3EE5D94B" w14:textId="77777777" w:rsidR="00105561" w:rsidRDefault="00105561">
      <w:pPr>
        <w:spacing w:after="0"/>
      </w:pPr>
    </w:p>
    <w:p w14:paraId="12CDE4D2" w14:textId="77777777" w:rsidR="00105561" w:rsidRDefault="00000000">
      <w:pPr>
        <w:jc w:val="both"/>
      </w:pPr>
      <w:r>
        <w:t>Manjak prihoda poslovanja – ispravci rezultata iz prethodnih razdoblja odnosi se na ispravak temeljem Odluke Hrvatske zaklade za znanost o povratu neutrošenih sredstava projekta UIP 2019-04-1576 „Engleske riječi u hrvatskom jeziku: Identifikacija, afektivno semantičko normiranje i ispitivanje kognitivne obrade bihevioralnim i neuroznanstvenim metodama“ financiranog u okviru programa „Uspostavni istraživački objekti“, Fakultet je izvršio povrat sredstava projekta  u iznosu 3.909,28 eura.</w:t>
      </w:r>
    </w:p>
    <w:p w14:paraId="7FD00634" w14:textId="77777777" w:rsidR="00105561" w:rsidRDefault="00105561"/>
    <w:p w14:paraId="6A8B08C0" w14:textId="77777777" w:rsidR="00105561" w:rsidRDefault="00000000">
      <w:pPr>
        <w:keepNext/>
        <w:spacing w:line="240" w:lineRule="auto"/>
        <w:jc w:val="center"/>
      </w:pPr>
      <w:r>
        <w:rPr>
          <w:sz w:val="28"/>
        </w:rPr>
        <w:t>Bilješka 65.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05561" w14:paraId="368F305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2DBA45C" w14:textId="77777777" w:rsidR="00105561"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F3D4BDD" w14:textId="77777777" w:rsidR="00105561"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D945399" w14:textId="77777777" w:rsidR="00105561"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E57E73A" w14:textId="77777777" w:rsidR="00105561"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6D4E8352" w14:textId="77777777" w:rsidR="00105561"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7810C62A" w14:textId="77777777" w:rsidR="00105561" w:rsidRDefault="00000000">
            <w:pPr>
              <w:keepNext/>
              <w:keepLines/>
              <w:spacing w:after="0" w:line="240" w:lineRule="auto"/>
              <w:jc w:val="center"/>
            </w:pPr>
            <w:r>
              <w:rPr>
                <w:b/>
                <w:sz w:val="18"/>
              </w:rPr>
              <w:t>Indeks (%)</w:t>
            </w:r>
          </w:p>
        </w:tc>
      </w:tr>
      <w:tr w:rsidR="00105561" w14:paraId="5D07A59F" w14:textId="77777777">
        <w:tblPrEx>
          <w:tblCellMar>
            <w:top w:w="0" w:type="dxa"/>
            <w:bottom w:w="0" w:type="dxa"/>
          </w:tblCellMar>
        </w:tblPrEx>
        <w:trPr>
          <w:cantSplit/>
          <w:trHeight w:val="560"/>
        </w:trPr>
        <w:tc>
          <w:tcPr>
            <w:tcW w:w="700" w:type="dxa"/>
            <w:tcMar>
              <w:top w:w="0" w:type="dxa"/>
              <w:bottom w:w="0" w:type="dxa"/>
            </w:tcMar>
            <w:vAlign w:val="center"/>
          </w:tcPr>
          <w:p w14:paraId="2E3D8565" w14:textId="77777777" w:rsidR="00105561" w:rsidRDefault="00000000">
            <w:pPr>
              <w:keepNext/>
              <w:keepLines/>
              <w:spacing w:after="0" w:line="240" w:lineRule="auto"/>
            </w:pPr>
            <w:r>
              <w:rPr>
                <w:sz w:val="18"/>
              </w:rPr>
              <w:t>99611</w:t>
            </w:r>
          </w:p>
        </w:tc>
        <w:tc>
          <w:tcPr>
            <w:tcW w:w="3180" w:type="dxa"/>
            <w:tcMar>
              <w:top w:w="0" w:type="dxa"/>
              <w:bottom w:w="0" w:type="dxa"/>
            </w:tcMar>
            <w:vAlign w:val="center"/>
          </w:tcPr>
          <w:p w14:paraId="093331BC" w14:textId="77777777" w:rsidR="00105561" w:rsidRDefault="00000000">
            <w:pPr>
              <w:keepNext/>
              <w:keepLines/>
              <w:spacing w:after="0" w:line="240" w:lineRule="auto"/>
            </w:pPr>
            <w:r>
              <w:rPr>
                <w:sz w:val="18"/>
              </w:rPr>
              <w:t>Tuđa imovina dobivena na korištenje</w:t>
            </w:r>
          </w:p>
        </w:tc>
        <w:tc>
          <w:tcPr>
            <w:tcW w:w="700" w:type="dxa"/>
            <w:tcMar>
              <w:top w:w="0" w:type="dxa"/>
              <w:bottom w:w="0" w:type="dxa"/>
            </w:tcMar>
            <w:vAlign w:val="center"/>
          </w:tcPr>
          <w:p w14:paraId="0C07BC10" w14:textId="77777777" w:rsidR="00105561" w:rsidRDefault="00000000">
            <w:pPr>
              <w:keepNext/>
              <w:keepLines/>
              <w:spacing w:after="0" w:line="240" w:lineRule="auto"/>
            </w:pPr>
            <w:r>
              <w:rPr>
                <w:sz w:val="18"/>
              </w:rPr>
              <w:t>99611</w:t>
            </w:r>
          </w:p>
        </w:tc>
        <w:tc>
          <w:tcPr>
            <w:tcW w:w="1860" w:type="dxa"/>
            <w:tcMar>
              <w:top w:w="0" w:type="dxa"/>
              <w:bottom w:w="0" w:type="dxa"/>
            </w:tcMar>
            <w:vAlign w:val="center"/>
          </w:tcPr>
          <w:p w14:paraId="1FC65F39" w14:textId="77777777" w:rsidR="00105561" w:rsidRDefault="00000000">
            <w:pPr>
              <w:keepNext/>
              <w:keepLines/>
              <w:spacing w:after="0" w:line="240" w:lineRule="auto"/>
              <w:jc w:val="right"/>
            </w:pPr>
            <w:r>
              <w:rPr>
                <w:sz w:val="18"/>
              </w:rPr>
              <w:t>352.078,14</w:t>
            </w:r>
          </w:p>
        </w:tc>
        <w:tc>
          <w:tcPr>
            <w:tcW w:w="1860" w:type="dxa"/>
            <w:tcMar>
              <w:top w:w="0" w:type="dxa"/>
              <w:bottom w:w="0" w:type="dxa"/>
            </w:tcMar>
            <w:vAlign w:val="center"/>
          </w:tcPr>
          <w:p w14:paraId="183FC408" w14:textId="77777777" w:rsidR="00105561" w:rsidRDefault="00000000">
            <w:pPr>
              <w:keepNext/>
              <w:keepLines/>
              <w:spacing w:after="0" w:line="240" w:lineRule="auto"/>
              <w:jc w:val="right"/>
            </w:pPr>
            <w:r>
              <w:rPr>
                <w:sz w:val="18"/>
              </w:rPr>
              <w:t>323.692,99</w:t>
            </w:r>
          </w:p>
        </w:tc>
        <w:tc>
          <w:tcPr>
            <w:tcW w:w="700" w:type="dxa"/>
            <w:tcMar>
              <w:top w:w="0" w:type="dxa"/>
              <w:bottom w:w="0" w:type="dxa"/>
            </w:tcMar>
            <w:vAlign w:val="center"/>
          </w:tcPr>
          <w:p w14:paraId="615034D4" w14:textId="77777777" w:rsidR="00105561" w:rsidRDefault="00000000">
            <w:pPr>
              <w:keepNext/>
              <w:keepLines/>
              <w:spacing w:after="0" w:line="240" w:lineRule="auto"/>
              <w:jc w:val="right"/>
            </w:pPr>
            <w:r>
              <w:rPr>
                <w:sz w:val="18"/>
              </w:rPr>
              <w:t>91,9</w:t>
            </w:r>
          </w:p>
        </w:tc>
      </w:tr>
    </w:tbl>
    <w:p w14:paraId="0969A13A" w14:textId="77777777" w:rsidR="00105561" w:rsidRDefault="00105561">
      <w:pPr>
        <w:spacing w:after="0"/>
      </w:pPr>
    </w:p>
    <w:p w14:paraId="345AE717" w14:textId="77777777" w:rsidR="00105561" w:rsidRDefault="00000000">
      <w:pPr>
        <w:jc w:val="both"/>
      </w:pPr>
      <w:r>
        <w:lastRenderedPageBreak/>
        <w:t>U tekućoj godini čini je sadašnja vrijednost objekta Lučke uprave Rijeka kojeg Fakultet koristi za potrebe edukativne radionice Torpedo površine 604,19 m² prizemne površine Hale 3 i 100,36 m² u tri podrumske prostorije u objektu 47, na adresi Milutina Barača bb, Rijeka temeljem ugovora o zakupu, a knjigovodstvena vrijednost nekretnine iznosi 323.692,99 eura.</w:t>
      </w:r>
    </w:p>
    <w:p w14:paraId="1E603FF7" w14:textId="77777777" w:rsidR="00105561" w:rsidRDefault="00000000">
      <w:pPr>
        <w:jc w:val="both"/>
      </w:pPr>
      <w:r>
        <w:t>Prethodne godine na ovoj stavci evidentirala se i vrijednost objekta Lučke uprave Rijeka i vrijednost aparata/skenera temeljem ugovora o operativnom najmu. </w:t>
      </w:r>
    </w:p>
    <w:p w14:paraId="6D829BB4" w14:textId="77777777" w:rsidR="00105561" w:rsidRDefault="00000000">
      <w:r>
        <w:t> </w:t>
      </w:r>
    </w:p>
    <w:p w14:paraId="469C3257" w14:textId="77777777" w:rsidR="00105561" w:rsidRDefault="00105561"/>
    <w:p w14:paraId="71440773" w14:textId="77777777" w:rsidR="00105561" w:rsidRDefault="00000000">
      <w:pPr>
        <w:keepNext/>
        <w:spacing w:line="240" w:lineRule="auto"/>
        <w:jc w:val="center"/>
      </w:pPr>
      <w:r>
        <w:rPr>
          <w:sz w:val="28"/>
        </w:rPr>
        <w:t>Bilješka 66.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05561" w14:paraId="3B91F1B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9DEAA6E" w14:textId="77777777" w:rsidR="00105561"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E3D2E47" w14:textId="77777777" w:rsidR="00105561"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C253E59" w14:textId="77777777" w:rsidR="00105561"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BD5AD07" w14:textId="77777777" w:rsidR="00105561"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2F5BD76F" w14:textId="77777777" w:rsidR="00105561"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71649AC2" w14:textId="77777777" w:rsidR="00105561" w:rsidRDefault="00000000">
            <w:pPr>
              <w:keepNext/>
              <w:keepLines/>
              <w:spacing w:after="0" w:line="240" w:lineRule="auto"/>
              <w:jc w:val="center"/>
            </w:pPr>
            <w:r>
              <w:rPr>
                <w:b/>
                <w:sz w:val="18"/>
              </w:rPr>
              <w:t>Indeks (%)</w:t>
            </w:r>
          </w:p>
        </w:tc>
      </w:tr>
      <w:tr w:rsidR="00105561" w14:paraId="4907DC71" w14:textId="77777777">
        <w:tblPrEx>
          <w:tblCellMar>
            <w:top w:w="0" w:type="dxa"/>
            <w:bottom w:w="0" w:type="dxa"/>
          </w:tblCellMar>
        </w:tblPrEx>
        <w:trPr>
          <w:cantSplit/>
          <w:trHeight w:val="560"/>
        </w:trPr>
        <w:tc>
          <w:tcPr>
            <w:tcW w:w="700" w:type="dxa"/>
            <w:tcMar>
              <w:top w:w="0" w:type="dxa"/>
              <w:bottom w:w="0" w:type="dxa"/>
            </w:tcMar>
            <w:vAlign w:val="center"/>
          </w:tcPr>
          <w:p w14:paraId="68F319C0" w14:textId="77777777" w:rsidR="00105561" w:rsidRDefault="00000000">
            <w:pPr>
              <w:keepNext/>
              <w:keepLines/>
              <w:spacing w:after="0" w:line="240" w:lineRule="auto"/>
            </w:pPr>
            <w:r>
              <w:rPr>
                <w:sz w:val="18"/>
              </w:rPr>
              <w:t>99612</w:t>
            </w:r>
          </w:p>
        </w:tc>
        <w:tc>
          <w:tcPr>
            <w:tcW w:w="3180" w:type="dxa"/>
            <w:tcMar>
              <w:top w:w="0" w:type="dxa"/>
              <w:bottom w:w="0" w:type="dxa"/>
            </w:tcMar>
            <w:vAlign w:val="center"/>
          </w:tcPr>
          <w:p w14:paraId="512FC8E5" w14:textId="77777777" w:rsidR="00105561" w:rsidRDefault="00000000">
            <w:pPr>
              <w:keepNext/>
              <w:keepLines/>
              <w:spacing w:after="0" w:line="240" w:lineRule="auto"/>
            </w:pPr>
            <w:r>
              <w:rPr>
                <w:sz w:val="18"/>
              </w:rPr>
              <w:t>Dugotrajna nefinancijska imovina nabavljena iz operativnog najma</w:t>
            </w:r>
          </w:p>
        </w:tc>
        <w:tc>
          <w:tcPr>
            <w:tcW w:w="700" w:type="dxa"/>
            <w:tcMar>
              <w:top w:w="0" w:type="dxa"/>
              <w:bottom w:w="0" w:type="dxa"/>
            </w:tcMar>
            <w:vAlign w:val="center"/>
          </w:tcPr>
          <w:p w14:paraId="313AD37B" w14:textId="77777777" w:rsidR="00105561" w:rsidRDefault="00000000">
            <w:pPr>
              <w:keepNext/>
              <w:keepLines/>
              <w:spacing w:after="0" w:line="240" w:lineRule="auto"/>
            </w:pPr>
            <w:r>
              <w:rPr>
                <w:sz w:val="18"/>
              </w:rPr>
              <w:t>99612</w:t>
            </w:r>
          </w:p>
        </w:tc>
        <w:tc>
          <w:tcPr>
            <w:tcW w:w="1860" w:type="dxa"/>
            <w:tcMar>
              <w:top w:w="0" w:type="dxa"/>
              <w:bottom w:w="0" w:type="dxa"/>
            </w:tcMar>
            <w:vAlign w:val="center"/>
          </w:tcPr>
          <w:p w14:paraId="38CFEACE" w14:textId="77777777" w:rsidR="00105561" w:rsidRDefault="00000000">
            <w:pPr>
              <w:keepNext/>
              <w:keepLines/>
              <w:spacing w:after="0" w:line="240" w:lineRule="auto"/>
              <w:jc w:val="right"/>
            </w:pPr>
            <w:r>
              <w:rPr>
                <w:sz w:val="18"/>
              </w:rPr>
              <w:t>0,00</w:t>
            </w:r>
          </w:p>
        </w:tc>
        <w:tc>
          <w:tcPr>
            <w:tcW w:w="1860" w:type="dxa"/>
            <w:tcMar>
              <w:top w:w="0" w:type="dxa"/>
              <w:bottom w:w="0" w:type="dxa"/>
            </w:tcMar>
            <w:vAlign w:val="center"/>
          </w:tcPr>
          <w:p w14:paraId="1B6FA180" w14:textId="77777777" w:rsidR="00105561" w:rsidRDefault="00000000">
            <w:pPr>
              <w:keepNext/>
              <w:keepLines/>
              <w:spacing w:after="0" w:line="240" w:lineRule="auto"/>
              <w:jc w:val="right"/>
            </w:pPr>
            <w:r>
              <w:rPr>
                <w:sz w:val="18"/>
              </w:rPr>
              <w:t>5.366,53</w:t>
            </w:r>
          </w:p>
        </w:tc>
        <w:tc>
          <w:tcPr>
            <w:tcW w:w="700" w:type="dxa"/>
            <w:tcMar>
              <w:top w:w="0" w:type="dxa"/>
              <w:bottom w:w="0" w:type="dxa"/>
            </w:tcMar>
            <w:vAlign w:val="center"/>
          </w:tcPr>
          <w:p w14:paraId="24937BFA" w14:textId="77777777" w:rsidR="00105561" w:rsidRDefault="00000000">
            <w:pPr>
              <w:keepNext/>
              <w:keepLines/>
              <w:spacing w:after="0" w:line="240" w:lineRule="auto"/>
              <w:jc w:val="right"/>
            </w:pPr>
            <w:r>
              <w:rPr>
                <w:sz w:val="18"/>
              </w:rPr>
              <w:t>-</w:t>
            </w:r>
          </w:p>
        </w:tc>
      </w:tr>
    </w:tbl>
    <w:p w14:paraId="4DA0C4D9" w14:textId="77777777" w:rsidR="00105561" w:rsidRDefault="00105561">
      <w:pPr>
        <w:spacing w:after="0"/>
      </w:pPr>
    </w:p>
    <w:p w14:paraId="2BACA4F5" w14:textId="77777777" w:rsidR="00105561" w:rsidRDefault="00000000">
      <w:pPr>
        <w:jc w:val="both"/>
      </w:pPr>
      <w:r>
        <w:t>Vrijednost tuđe imovine dobivene na korištenje odnosi se na vrijednost 10 (deset) kopirnih aparata/skenera koje Fakultet koristi temeljem ugovora o operativnom najmu.</w:t>
      </w:r>
    </w:p>
    <w:p w14:paraId="1941029A" w14:textId="77777777" w:rsidR="00105561" w:rsidRDefault="00105561"/>
    <w:p w14:paraId="6E0D9F3D" w14:textId="77777777" w:rsidR="00105561" w:rsidRDefault="00000000">
      <w:pPr>
        <w:keepNext/>
        <w:spacing w:line="240" w:lineRule="auto"/>
        <w:jc w:val="center"/>
      </w:pPr>
      <w:r>
        <w:rPr>
          <w:sz w:val="28"/>
        </w:rPr>
        <w:t>Bilješka 67.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05561" w14:paraId="405AF6A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BA2EA70" w14:textId="77777777" w:rsidR="00105561"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4088727" w14:textId="77777777" w:rsidR="00105561"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635D369" w14:textId="77777777" w:rsidR="00105561"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9FC40BB" w14:textId="77777777" w:rsidR="00105561"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1D4C1AC1" w14:textId="77777777" w:rsidR="00105561"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0BAB2945" w14:textId="77777777" w:rsidR="00105561" w:rsidRDefault="00000000">
            <w:pPr>
              <w:keepNext/>
              <w:keepLines/>
              <w:spacing w:after="0" w:line="240" w:lineRule="auto"/>
              <w:jc w:val="center"/>
            </w:pPr>
            <w:r>
              <w:rPr>
                <w:b/>
                <w:sz w:val="18"/>
              </w:rPr>
              <w:t>Indeks (%)</w:t>
            </w:r>
          </w:p>
        </w:tc>
      </w:tr>
      <w:tr w:rsidR="00105561" w14:paraId="14A5C460" w14:textId="77777777">
        <w:tblPrEx>
          <w:tblCellMar>
            <w:top w:w="0" w:type="dxa"/>
            <w:bottom w:w="0" w:type="dxa"/>
          </w:tblCellMar>
        </w:tblPrEx>
        <w:trPr>
          <w:cantSplit/>
          <w:trHeight w:val="560"/>
        </w:trPr>
        <w:tc>
          <w:tcPr>
            <w:tcW w:w="700" w:type="dxa"/>
            <w:tcMar>
              <w:top w:w="0" w:type="dxa"/>
              <w:bottom w:w="0" w:type="dxa"/>
            </w:tcMar>
            <w:vAlign w:val="center"/>
          </w:tcPr>
          <w:p w14:paraId="7CB58CE1" w14:textId="77777777" w:rsidR="00105561" w:rsidRDefault="00000000">
            <w:pPr>
              <w:keepNext/>
              <w:keepLines/>
              <w:spacing w:after="0" w:line="240" w:lineRule="auto"/>
            </w:pPr>
            <w:r>
              <w:rPr>
                <w:sz w:val="18"/>
              </w:rPr>
              <w:t>99652</w:t>
            </w:r>
          </w:p>
        </w:tc>
        <w:tc>
          <w:tcPr>
            <w:tcW w:w="3180" w:type="dxa"/>
            <w:tcMar>
              <w:top w:w="0" w:type="dxa"/>
              <w:bottom w:w="0" w:type="dxa"/>
            </w:tcMar>
            <w:vAlign w:val="center"/>
          </w:tcPr>
          <w:p w14:paraId="5BEA8B9F" w14:textId="77777777" w:rsidR="00105561" w:rsidRDefault="00000000">
            <w:pPr>
              <w:keepNext/>
              <w:keepLines/>
              <w:spacing w:after="0" w:line="240" w:lineRule="auto"/>
            </w:pPr>
            <w:r>
              <w:rPr>
                <w:sz w:val="18"/>
              </w:rPr>
              <w:t>Preuzete obveze po ugovorima o nabavi roba, radova i usluga</w:t>
            </w:r>
          </w:p>
        </w:tc>
        <w:tc>
          <w:tcPr>
            <w:tcW w:w="700" w:type="dxa"/>
            <w:tcMar>
              <w:top w:w="0" w:type="dxa"/>
              <w:bottom w:w="0" w:type="dxa"/>
            </w:tcMar>
            <w:vAlign w:val="center"/>
          </w:tcPr>
          <w:p w14:paraId="4FFB4494" w14:textId="77777777" w:rsidR="00105561" w:rsidRDefault="00000000">
            <w:pPr>
              <w:keepNext/>
              <w:keepLines/>
              <w:spacing w:after="0" w:line="240" w:lineRule="auto"/>
            </w:pPr>
            <w:r>
              <w:rPr>
                <w:sz w:val="18"/>
              </w:rPr>
              <w:t>99652</w:t>
            </w:r>
          </w:p>
        </w:tc>
        <w:tc>
          <w:tcPr>
            <w:tcW w:w="1860" w:type="dxa"/>
            <w:tcMar>
              <w:top w:w="0" w:type="dxa"/>
              <w:bottom w:w="0" w:type="dxa"/>
            </w:tcMar>
            <w:vAlign w:val="center"/>
          </w:tcPr>
          <w:p w14:paraId="7582B83B" w14:textId="77777777" w:rsidR="00105561" w:rsidRDefault="00000000">
            <w:pPr>
              <w:keepNext/>
              <w:keepLines/>
              <w:spacing w:after="0" w:line="240" w:lineRule="auto"/>
              <w:jc w:val="right"/>
            </w:pPr>
            <w:r>
              <w:rPr>
                <w:sz w:val="18"/>
              </w:rPr>
              <w:t>19.825,00</w:t>
            </w:r>
          </w:p>
        </w:tc>
        <w:tc>
          <w:tcPr>
            <w:tcW w:w="1860" w:type="dxa"/>
            <w:tcMar>
              <w:top w:w="0" w:type="dxa"/>
              <w:bottom w:w="0" w:type="dxa"/>
            </w:tcMar>
            <w:vAlign w:val="center"/>
          </w:tcPr>
          <w:p w14:paraId="32E2A0CD" w14:textId="77777777" w:rsidR="00105561" w:rsidRDefault="00000000">
            <w:pPr>
              <w:keepNext/>
              <w:keepLines/>
              <w:spacing w:after="0" w:line="240" w:lineRule="auto"/>
              <w:jc w:val="right"/>
            </w:pPr>
            <w:r>
              <w:rPr>
                <w:sz w:val="18"/>
              </w:rPr>
              <w:t>80.950,58</w:t>
            </w:r>
          </w:p>
        </w:tc>
        <w:tc>
          <w:tcPr>
            <w:tcW w:w="700" w:type="dxa"/>
            <w:tcMar>
              <w:top w:w="0" w:type="dxa"/>
              <w:bottom w:w="0" w:type="dxa"/>
            </w:tcMar>
            <w:vAlign w:val="center"/>
          </w:tcPr>
          <w:p w14:paraId="3B3FAB92" w14:textId="77777777" w:rsidR="00105561" w:rsidRDefault="00000000">
            <w:pPr>
              <w:keepNext/>
              <w:keepLines/>
              <w:spacing w:after="0" w:line="240" w:lineRule="auto"/>
              <w:jc w:val="right"/>
            </w:pPr>
            <w:r>
              <w:rPr>
                <w:sz w:val="18"/>
              </w:rPr>
              <w:t>408,3</w:t>
            </w:r>
          </w:p>
        </w:tc>
      </w:tr>
    </w:tbl>
    <w:p w14:paraId="366B6387" w14:textId="77777777" w:rsidR="00105561" w:rsidRDefault="00105561">
      <w:pPr>
        <w:spacing w:after="0"/>
      </w:pPr>
    </w:p>
    <w:p w14:paraId="50D604EA" w14:textId="77777777" w:rsidR="00105561" w:rsidRDefault="00000000">
      <w:r>
        <w:t>Sve preuzete obveze po ugovorima o nabavi roba, radova i usluga iz prethodnog razdoblja su uredno podmirene. </w:t>
      </w:r>
    </w:p>
    <w:p w14:paraId="3D875ACD" w14:textId="77777777" w:rsidR="00105561" w:rsidRDefault="00000000">
      <w:r>
        <w:t>Predmeti nabave za koje su preuzete obveze i ugovori sklopljeni koncem 2025. godini, a čije se izvršenje očekuje u idućem razdoblju:</w:t>
      </w:r>
    </w:p>
    <w:p w14:paraId="0CB3437E" w14:textId="77777777" w:rsidR="00105561" w:rsidRDefault="00000000">
      <w:r>
        <w:t> </w:t>
      </w:r>
    </w:p>
    <w:tbl>
      <w:tblPr>
        <w:tblStyle w:val="TableGrid"/>
        <w:tblW w:w="5000" w:type="pct"/>
        <w:tblLook w:val="04A0" w:firstRow="1" w:lastRow="0" w:firstColumn="1" w:lastColumn="0" w:noHBand="0" w:noVBand="1"/>
      </w:tblPr>
      <w:tblGrid>
        <w:gridCol w:w="1336"/>
        <w:gridCol w:w="1896"/>
        <w:gridCol w:w="950"/>
        <w:gridCol w:w="2443"/>
        <w:gridCol w:w="2437"/>
      </w:tblGrid>
      <w:tr w:rsidR="00105561" w14:paraId="72C7DC3F" w14:textId="77777777">
        <w:trPr>
          <w:trHeight w:val="542"/>
        </w:trPr>
        <w:tc>
          <w:tcPr>
            <w:tcW w:w="466" w:type="pct"/>
            <w:vAlign w:val="center"/>
          </w:tcPr>
          <w:p w14:paraId="5430E428" w14:textId="77777777" w:rsidR="00105561" w:rsidRDefault="00000000">
            <w:r>
              <w:rPr>
                <w:b/>
              </w:rPr>
              <w:t>Red. br.</w:t>
            </w:r>
          </w:p>
        </w:tc>
        <w:tc>
          <w:tcPr>
            <w:tcW w:w="1208" w:type="pct"/>
            <w:vAlign w:val="center"/>
          </w:tcPr>
          <w:p w14:paraId="72ADB2E3" w14:textId="77777777" w:rsidR="00105561" w:rsidRDefault="00000000">
            <w:r>
              <w:rPr>
                <w:b/>
              </w:rPr>
              <w:t>Izvršitelj</w:t>
            </w:r>
          </w:p>
        </w:tc>
        <w:tc>
          <w:tcPr>
            <w:tcW w:w="453" w:type="pct"/>
            <w:vAlign w:val="center"/>
          </w:tcPr>
          <w:p w14:paraId="0CB49EF0" w14:textId="77777777" w:rsidR="00105561" w:rsidRDefault="00000000">
            <w:r>
              <w:rPr>
                <w:b/>
              </w:rPr>
              <w:t>Evid. br. nabave</w:t>
            </w:r>
          </w:p>
        </w:tc>
        <w:tc>
          <w:tcPr>
            <w:tcW w:w="1347" w:type="pct"/>
            <w:vAlign w:val="center"/>
          </w:tcPr>
          <w:p w14:paraId="08420308" w14:textId="77777777" w:rsidR="00105561" w:rsidRDefault="00000000">
            <w:r>
              <w:rPr>
                <w:b/>
              </w:rPr>
              <w:t>Ugovor/narudžbenica</w:t>
            </w:r>
          </w:p>
        </w:tc>
        <w:tc>
          <w:tcPr>
            <w:tcW w:w="1525" w:type="pct"/>
            <w:vAlign w:val="center"/>
          </w:tcPr>
          <w:p w14:paraId="677AF2F7" w14:textId="77777777" w:rsidR="00105561" w:rsidRDefault="00000000">
            <w:r>
              <w:rPr>
                <w:b/>
              </w:rPr>
              <w:t>Iznos EUR</w:t>
            </w:r>
          </w:p>
        </w:tc>
      </w:tr>
      <w:tr w:rsidR="00105561" w14:paraId="7D434F12" w14:textId="77777777">
        <w:trPr>
          <w:trHeight w:val="542"/>
        </w:trPr>
        <w:tc>
          <w:tcPr>
            <w:tcW w:w="466" w:type="pct"/>
            <w:vAlign w:val="center"/>
          </w:tcPr>
          <w:p w14:paraId="78595A04" w14:textId="77777777" w:rsidR="00105561" w:rsidRDefault="00000000">
            <w:r>
              <w:t>1.</w:t>
            </w:r>
          </w:p>
        </w:tc>
        <w:tc>
          <w:tcPr>
            <w:tcW w:w="1208" w:type="pct"/>
            <w:vAlign w:val="center"/>
          </w:tcPr>
          <w:p w14:paraId="16DF327B" w14:textId="77777777" w:rsidR="00105561" w:rsidRDefault="00000000">
            <w:r>
              <w:t>SGM INFORMATIKA d.o.o.</w:t>
            </w:r>
          </w:p>
        </w:tc>
        <w:tc>
          <w:tcPr>
            <w:tcW w:w="453" w:type="pct"/>
            <w:vAlign w:val="center"/>
          </w:tcPr>
          <w:p w14:paraId="0BA0693C" w14:textId="77777777" w:rsidR="00105561" w:rsidRDefault="00000000">
            <w:pPr>
              <w:keepNext/>
              <w:jc w:val="center"/>
            </w:pPr>
            <w:r>
              <w:t>2/25</w:t>
            </w:r>
          </w:p>
        </w:tc>
        <w:tc>
          <w:tcPr>
            <w:tcW w:w="1347" w:type="pct"/>
            <w:vAlign w:val="center"/>
          </w:tcPr>
          <w:p w14:paraId="23F1E064" w14:textId="77777777" w:rsidR="00105561" w:rsidRDefault="00000000">
            <w:pPr>
              <w:keepNext/>
              <w:jc w:val="center"/>
            </w:pPr>
            <w:r>
              <w:t>Ugovor</w:t>
            </w:r>
          </w:p>
        </w:tc>
        <w:tc>
          <w:tcPr>
            <w:tcW w:w="1525" w:type="pct"/>
            <w:vAlign w:val="center"/>
          </w:tcPr>
          <w:p w14:paraId="113A1BA5" w14:textId="77777777" w:rsidR="00105561" w:rsidRDefault="00000000">
            <w:pPr>
              <w:keepNext/>
              <w:jc w:val="right"/>
            </w:pPr>
            <w:r>
              <w:t>52.500,00</w:t>
            </w:r>
          </w:p>
        </w:tc>
      </w:tr>
      <w:tr w:rsidR="00105561" w14:paraId="6DE19C85" w14:textId="77777777">
        <w:trPr>
          <w:trHeight w:val="542"/>
        </w:trPr>
        <w:tc>
          <w:tcPr>
            <w:tcW w:w="466" w:type="pct"/>
            <w:vAlign w:val="center"/>
          </w:tcPr>
          <w:p w14:paraId="1A3D6658" w14:textId="77777777" w:rsidR="00105561" w:rsidRDefault="00000000">
            <w:r>
              <w:t>2.</w:t>
            </w:r>
          </w:p>
        </w:tc>
        <w:tc>
          <w:tcPr>
            <w:tcW w:w="1208" w:type="pct"/>
            <w:vAlign w:val="center"/>
          </w:tcPr>
          <w:p w14:paraId="408BFABC" w14:textId="77777777" w:rsidR="00105561" w:rsidRDefault="00000000">
            <w:r>
              <w:t>NETCOM d,o.o.</w:t>
            </w:r>
          </w:p>
        </w:tc>
        <w:tc>
          <w:tcPr>
            <w:tcW w:w="453" w:type="pct"/>
            <w:vAlign w:val="center"/>
          </w:tcPr>
          <w:p w14:paraId="551EE40C" w14:textId="77777777" w:rsidR="00105561" w:rsidRDefault="00000000">
            <w:pPr>
              <w:keepNext/>
              <w:jc w:val="center"/>
            </w:pPr>
            <w:r>
              <w:t>2/25</w:t>
            </w:r>
          </w:p>
        </w:tc>
        <w:tc>
          <w:tcPr>
            <w:tcW w:w="1347" w:type="pct"/>
            <w:vAlign w:val="center"/>
          </w:tcPr>
          <w:p w14:paraId="1D1F93D4" w14:textId="77777777" w:rsidR="00105561" w:rsidRDefault="00000000">
            <w:pPr>
              <w:keepNext/>
              <w:jc w:val="center"/>
            </w:pPr>
            <w:r>
              <w:t>Ugovor</w:t>
            </w:r>
          </w:p>
        </w:tc>
        <w:tc>
          <w:tcPr>
            <w:tcW w:w="1525" w:type="pct"/>
            <w:vAlign w:val="center"/>
          </w:tcPr>
          <w:p w14:paraId="5F76DBF8" w14:textId="77777777" w:rsidR="00105561" w:rsidRDefault="00000000">
            <w:pPr>
              <w:keepNext/>
              <w:jc w:val="right"/>
            </w:pPr>
            <w:r>
              <w:t>13.744,08</w:t>
            </w:r>
          </w:p>
        </w:tc>
      </w:tr>
      <w:tr w:rsidR="00105561" w14:paraId="4E7A5087" w14:textId="77777777">
        <w:trPr>
          <w:trHeight w:val="542"/>
        </w:trPr>
        <w:tc>
          <w:tcPr>
            <w:tcW w:w="466" w:type="pct"/>
            <w:vAlign w:val="center"/>
          </w:tcPr>
          <w:p w14:paraId="033E9BF2" w14:textId="77777777" w:rsidR="00105561" w:rsidRDefault="00000000">
            <w:r>
              <w:t>3.</w:t>
            </w:r>
          </w:p>
        </w:tc>
        <w:tc>
          <w:tcPr>
            <w:tcW w:w="1208" w:type="pct"/>
            <w:vAlign w:val="center"/>
          </w:tcPr>
          <w:p w14:paraId="13F14FAF" w14:textId="77777777" w:rsidR="00105561" w:rsidRDefault="00000000">
            <w:r>
              <w:t>NETCOM d.o.o.</w:t>
            </w:r>
          </w:p>
        </w:tc>
        <w:tc>
          <w:tcPr>
            <w:tcW w:w="453" w:type="pct"/>
            <w:vAlign w:val="center"/>
          </w:tcPr>
          <w:p w14:paraId="2B8AABF8" w14:textId="77777777" w:rsidR="00105561" w:rsidRDefault="00000000">
            <w:pPr>
              <w:keepNext/>
              <w:jc w:val="center"/>
            </w:pPr>
            <w:r>
              <w:t>2/25</w:t>
            </w:r>
          </w:p>
        </w:tc>
        <w:tc>
          <w:tcPr>
            <w:tcW w:w="1347" w:type="pct"/>
            <w:vAlign w:val="center"/>
          </w:tcPr>
          <w:p w14:paraId="01F406D7" w14:textId="77777777" w:rsidR="00105561" w:rsidRDefault="00000000">
            <w:pPr>
              <w:keepNext/>
              <w:jc w:val="center"/>
            </w:pPr>
            <w:r>
              <w:t>Ugovor</w:t>
            </w:r>
          </w:p>
        </w:tc>
        <w:tc>
          <w:tcPr>
            <w:tcW w:w="1525" w:type="pct"/>
            <w:vAlign w:val="center"/>
          </w:tcPr>
          <w:p w14:paraId="09B70CFF" w14:textId="77777777" w:rsidR="00105561" w:rsidRDefault="00000000">
            <w:pPr>
              <w:keepNext/>
              <w:jc w:val="right"/>
            </w:pPr>
            <w:r>
              <w:t>1.617,17</w:t>
            </w:r>
          </w:p>
        </w:tc>
      </w:tr>
      <w:tr w:rsidR="00105561" w14:paraId="6FB6BD7B" w14:textId="77777777">
        <w:trPr>
          <w:trHeight w:val="542"/>
        </w:trPr>
        <w:tc>
          <w:tcPr>
            <w:tcW w:w="466" w:type="pct"/>
            <w:vAlign w:val="center"/>
          </w:tcPr>
          <w:p w14:paraId="45703D39" w14:textId="77777777" w:rsidR="00105561" w:rsidRDefault="00000000">
            <w:r>
              <w:lastRenderedPageBreak/>
              <w:t>4.</w:t>
            </w:r>
          </w:p>
        </w:tc>
        <w:tc>
          <w:tcPr>
            <w:tcW w:w="1208" w:type="pct"/>
            <w:vAlign w:val="center"/>
          </w:tcPr>
          <w:p w14:paraId="7DE99DBA" w14:textId="77777777" w:rsidR="00105561" w:rsidRDefault="00000000">
            <w:r>
              <w:t>NETCOM d.o.o.</w:t>
            </w:r>
          </w:p>
        </w:tc>
        <w:tc>
          <w:tcPr>
            <w:tcW w:w="453" w:type="pct"/>
            <w:vAlign w:val="center"/>
          </w:tcPr>
          <w:p w14:paraId="0654E99A" w14:textId="77777777" w:rsidR="00105561" w:rsidRDefault="00000000">
            <w:pPr>
              <w:keepNext/>
              <w:jc w:val="center"/>
            </w:pPr>
            <w:r>
              <w:t>2/25</w:t>
            </w:r>
          </w:p>
        </w:tc>
        <w:tc>
          <w:tcPr>
            <w:tcW w:w="1347" w:type="pct"/>
            <w:vAlign w:val="center"/>
          </w:tcPr>
          <w:p w14:paraId="02926455" w14:textId="77777777" w:rsidR="00105561" w:rsidRDefault="00000000">
            <w:pPr>
              <w:keepNext/>
              <w:jc w:val="center"/>
            </w:pPr>
            <w:r>
              <w:t>Ugovor</w:t>
            </w:r>
          </w:p>
        </w:tc>
        <w:tc>
          <w:tcPr>
            <w:tcW w:w="1525" w:type="pct"/>
            <w:vAlign w:val="center"/>
          </w:tcPr>
          <w:p w14:paraId="451FCAE0" w14:textId="77777777" w:rsidR="00105561" w:rsidRDefault="00000000">
            <w:pPr>
              <w:keepNext/>
              <w:jc w:val="right"/>
            </w:pPr>
            <w:r>
              <w:t>13.089,33</w:t>
            </w:r>
          </w:p>
        </w:tc>
      </w:tr>
      <w:tr w:rsidR="00105561" w14:paraId="6F3A35D3" w14:textId="77777777">
        <w:trPr>
          <w:trHeight w:val="542"/>
        </w:trPr>
        <w:tc>
          <w:tcPr>
            <w:tcW w:w="466" w:type="pct"/>
            <w:vAlign w:val="center"/>
          </w:tcPr>
          <w:p w14:paraId="508FFAD0" w14:textId="77777777" w:rsidR="00105561" w:rsidRDefault="00000000">
            <w:r>
              <w:rPr>
                <w:b/>
              </w:rPr>
              <w:t>UKUPNO:</w:t>
            </w:r>
          </w:p>
        </w:tc>
        <w:tc>
          <w:tcPr>
            <w:tcW w:w="1208" w:type="pct"/>
            <w:vAlign w:val="center"/>
          </w:tcPr>
          <w:p w14:paraId="3E95E364" w14:textId="77777777" w:rsidR="00105561" w:rsidRDefault="00000000">
            <w:r>
              <w:t> </w:t>
            </w:r>
          </w:p>
        </w:tc>
        <w:tc>
          <w:tcPr>
            <w:tcW w:w="453" w:type="pct"/>
            <w:vAlign w:val="center"/>
          </w:tcPr>
          <w:p w14:paraId="17414767" w14:textId="77777777" w:rsidR="00105561" w:rsidRDefault="00000000">
            <w:r>
              <w:t> </w:t>
            </w:r>
          </w:p>
        </w:tc>
        <w:tc>
          <w:tcPr>
            <w:tcW w:w="1347" w:type="pct"/>
            <w:vAlign w:val="center"/>
          </w:tcPr>
          <w:p w14:paraId="3E5CE640" w14:textId="77777777" w:rsidR="00105561" w:rsidRDefault="00000000">
            <w:r>
              <w:t> </w:t>
            </w:r>
          </w:p>
        </w:tc>
        <w:tc>
          <w:tcPr>
            <w:tcW w:w="1525" w:type="pct"/>
            <w:vAlign w:val="center"/>
          </w:tcPr>
          <w:p w14:paraId="0CFA090F" w14:textId="77777777" w:rsidR="00105561" w:rsidRDefault="00000000">
            <w:pPr>
              <w:keepNext/>
              <w:jc w:val="right"/>
            </w:pPr>
            <w:r>
              <w:t>80.950,58</w:t>
            </w:r>
          </w:p>
        </w:tc>
      </w:tr>
    </w:tbl>
    <w:p w14:paraId="272FD464" w14:textId="77777777" w:rsidR="00105561" w:rsidRDefault="00000000">
      <w:r>
        <w:t> </w:t>
      </w:r>
    </w:p>
    <w:p w14:paraId="70F3DA2A" w14:textId="77777777" w:rsidR="00105561" w:rsidRDefault="00105561"/>
    <w:p w14:paraId="5605754B" w14:textId="77777777" w:rsidR="00105561" w:rsidRDefault="00000000">
      <w:pPr>
        <w:keepNext/>
        <w:spacing w:line="240" w:lineRule="auto"/>
        <w:jc w:val="center"/>
      </w:pPr>
      <w:r>
        <w:rPr>
          <w:sz w:val="28"/>
        </w:rPr>
        <w:t>Bilješka 68.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05561" w14:paraId="3B97C1E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A7197C9" w14:textId="77777777" w:rsidR="00105561"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2D8D62E" w14:textId="77777777" w:rsidR="00105561"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39D8C96" w14:textId="77777777" w:rsidR="00105561"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E272338" w14:textId="77777777" w:rsidR="00105561"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7E7EF52E" w14:textId="77777777" w:rsidR="00105561"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6790DDBE" w14:textId="77777777" w:rsidR="00105561" w:rsidRDefault="00000000">
            <w:pPr>
              <w:keepNext/>
              <w:keepLines/>
              <w:spacing w:after="0" w:line="240" w:lineRule="auto"/>
              <w:jc w:val="center"/>
            </w:pPr>
            <w:r>
              <w:rPr>
                <w:b/>
                <w:sz w:val="18"/>
              </w:rPr>
              <w:t>Indeks (%)</w:t>
            </w:r>
          </w:p>
        </w:tc>
      </w:tr>
      <w:tr w:rsidR="00105561" w14:paraId="4D144E79" w14:textId="77777777">
        <w:tblPrEx>
          <w:tblCellMar>
            <w:top w:w="0" w:type="dxa"/>
            <w:bottom w:w="0" w:type="dxa"/>
          </w:tblCellMar>
        </w:tblPrEx>
        <w:trPr>
          <w:cantSplit/>
          <w:trHeight w:val="560"/>
        </w:trPr>
        <w:tc>
          <w:tcPr>
            <w:tcW w:w="700" w:type="dxa"/>
            <w:tcMar>
              <w:top w:w="0" w:type="dxa"/>
              <w:bottom w:w="0" w:type="dxa"/>
            </w:tcMar>
            <w:vAlign w:val="center"/>
          </w:tcPr>
          <w:p w14:paraId="47F77D42" w14:textId="77777777" w:rsidR="00105561" w:rsidRDefault="00000000">
            <w:pPr>
              <w:keepNext/>
              <w:keepLines/>
              <w:spacing w:after="0" w:line="240" w:lineRule="auto"/>
            </w:pPr>
            <w:r>
              <w:rPr>
                <w:sz w:val="18"/>
              </w:rPr>
              <w:t>99691</w:t>
            </w:r>
          </w:p>
        </w:tc>
        <w:tc>
          <w:tcPr>
            <w:tcW w:w="3180" w:type="dxa"/>
            <w:tcMar>
              <w:top w:w="0" w:type="dxa"/>
              <w:bottom w:w="0" w:type="dxa"/>
            </w:tcMar>
            <w:vAlign w:val="center"/>
          </w:tcPr>
          <w:p w14:paraId="7C8D36D9" w14:textId="77777777" w:rsidR="00105561" w:rsidRDefault="00000000">
            <w:pPr>
              <w:keepNext/>
              <w:keepLines/>
              <w:spacing w:after="0" w:line="240" w:lineRule="auto"/>
            </w:pPr>
            <w:r>
              <w:rPr>
                <w:sz w:val="18"/>
              </w:rPr>
              <w:t>Ostali izvanbilančni zapisi</w:t>
            </w:r>
          </w:p>
        </w:tc>
        <w:tc>
          <w:tcPr>
            <w:tcW w:w="700" w:type="dxa"/>
            <w:tcMar>
              <w:top w:w="0" w:type="dxa"/>
              <w:bottom w:w="0" w:type="dxa"/>
            </w:tcMar>
            <w:vAlign w:val="center"/>
          </w:tcPr>
          <w:p w14:paraId="507E15EC" w14:textId="77777777" w:rsidR="00105561" w:rsidRDefault="00000000">
            <w:pPr>
              <w:keepNext/>
              <w:keepLines/>
              <w:spacing w:after="0" w:line="240" w:lineRule="auto"/>
            </w:pPr>
            <w:r>
              <w:rPr>
                <w:sz w:val="18"/>
              </w:rPr>
              <w:t>99691</w:t>
            </w:r>
          </w:p>
        </w:tc>
        <w:tc>
          <w:tcPr>
            <w:tcW w:w="1860" w:type="dxa"/>
            <w:tcMar>
              <w:top w:w="0" w:type="dxa"/>
              <w:bottom w:w="0" w:type="dxa"/>
            </w:tcMar>
            <w:vAlign w:val="center"/>
          </w:tcPr>
          <w:p w14:paraId="101BD894" w14:textId="77777777" w:rsidR="00105561" w:rsidRDefault="00000000">
            <w:pPr>
              <w:keepNext/>
              <w:keepLines/>
              <w:spacing w:after="0" w:line="240" w:lineRule="auto"/>
              <w:jc w:val="right"/>
            </w:pPr>
            <w:r>
              <w:rPr>
                <w:sz w:val="18"/>
              </w:rPr>
              <w:t>0,00</w:t>
            </w:r>
          </w:p>
        </w:tc>
        <w:tc>
          <w:tcPr>
            <w:tcW w:w="1860" w:type="dxa"/>
            <w:tcMar>
              <w:top w:w="0" w:type="dxa"/>
              <w:bottom w:w="0" w:type="dxa"/>
            </w:tcMar>
            <w:vAlign w:val="center"/>
          </w:tcPr>
          <w:p w14:paraId="17505114" w14:textId="77777777" w:rsidR="00105561" w:rsidRDefault="00000000">
            <w:pPr>
              <w:keepNext/>
              <w:keepLines/>
              <w:spacing w:after="0" w:line="240" w:lineRule="auto"/>
              <w:jc w:val="right"/>
            </w:pPr>
            <w:r>
              <w:rPr>
                <w:sz w:val="18"/>
              </w:rPr>
              <w:t>17.953,99</w:t>
            </w:r>
          </w:p>
        </w:tc>
        <w:tc>
          <w:tcPr>
            <w:tcW w:w="700" w:type="dxa"/>
            <w:tcMar>
              <w:top w:w="0" w:type="dxa"/>
              <w:bottom w:w="0" w:type="dxa"/>
            </w:tcMar>
            <w:vAlign w:val="center"/>
          </w:tcPr>
          <w:p w14:paraId="7F431F4A" w14:textId="77777777" w:rsidR="00105561" w:rsidRDefault="00000000">
            <w:pPr>
              <w:keepNext/>
              <w:keepLines/>
              <w:spacing w:after="0" w:line="240" w:lineRule="auto"/>
              <w:jc w:val="right"/>
            </w:pPr>
            <w:r>
              <w:rPr>
                <w:sz w:val="18"/>
              </w:rPr>
              <w:t>-</w:t>
            </w:r>
          </w:p>
        </w:tc>
      </w:tr>
    </w:tbl>
    <w:p w14:paraId="1F1343B6" w14:textId="77777777" w:rsidR="00105561" w:rsidRDefault="00105561">
      <w:pPr>
        <w:spacing w:after="0"/>
      </w:pPr>
    </w:p>
    <w:p w14:paraId="41196918" w14:textId="77777777" w:rsidR="00105561" w:rsidRDefault="00000000">
      <w:r>
        <w:t>Sadrži preostalu vrijednost ugovora s Međunarodnim udruženjem pomorskih sveučilišta (IAMU) iz Japana za financiranje troškova doktorskog studija Pomorstvo jednoj polaznici studija kroz razdoblje od tri godine.</w:t>
      </w:r>
    </w:p>
    <w:p w14:paraId="06E19E9B" w14:textId="77777777" w:rsidR="00105561" w:rsidRDefault="00105561"/>
    <w:p w14:paraId="188E4E78" w14:textId="77777777" w:rsidR="00105561" w:rsidRDefault="00000000">
      <w:pPr>
        <w:keepNext/>
        <w:spacing w:line="240" w:lineRule="auto"/>
        <w:jc w:val="center"/>
      </w:pPr>
      <w:r>
        <w:rPr>
          <w:b/>
          <w:sz w:val="28"/>
        </w:rPr>
        <w:t>Izvještaj o rashodima prema funkcijskoj klasifikaciji</w:t>
      </w:r>
    </w:p>
    <w:p w14:paraId="266500E0" w14:textId="77777777" w:rsidR="00105561" w:rsidRDefault="00000000">
      <w:pPr>
        <w:keepNext/>
        <w:spacing w:line="240" w:lineRule="auto"/>
        <w:jc w:val="center"/>
      </w:pPr>
      <w:r>
        <w:rPr>
          <w:sz w:val="28"/>
        </w:rPr>
        <w:t>Bilješka 69.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05561" w14:paraId="2C5C523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BDF5C75" w14:textId="77777777" w:rsidR="00105561"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2EAA822" w14:textId="77777777" w:rsidR="00105561"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F40D999" w14:textId="77777777" w:rsidR="00105561"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5E893BC" w14:textId="77777777" w:rsidR="00105561"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6783BE8" w14:textId="77777777" w:rsidR="00105561"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D9F1E5B" w14:textId="77777777" w:rsidR="00105561" w:rsidRDefault="00000000">
            <w:pPr>
              <w:keepNext/>
              <w:keepLines/>
              <w:spacing w:after="0" w:line="240" w:lineRule="auto"/>
              <w:jc w:val="center"/>
            </w:pPr>
            <w:r>
              <w:rPr>
                <w:b/>
                <w:sz w:val="18"/>
              </w:rPr>
              <w:t>Indeks (%)</w:t>
            </w:r>
          </w:p>
        </w:tc>
      </w:tr>
      <w:tr w:rsidR="00105561" w14:paraId="73A35128" w14:textId="77777777">
        <w:tblPrEx>
          <w:tblCellMar>
            <w:top w:w="0" w:type="dxa"/>
            <w:bottom w:w="0" w:type="dxa"/>
          </w:tblCellMar>
        </w:tblPrEx>
        <w:trPr>
          <w:cantSplit/>
          <w:trHeight w:val="560"/>
        </w:trPr>
        <w:tc>
          <w:tcPr>
            <w:tcW w:w="700" w:type="dxa"/>
            <w:tcMar>
              <w:top w:w="0" w:type="dxa"/>
              <w:bottom w:w="0" w:type="dxa"/>
            </w:tcMar>
            <w:vAlign w:val="center"/>
          </w:tcPr>
          <w:p w14:paraId="6CC9E010" w14:textId="77777777" w:rsidR="00105561" w:rsidRDefault="00000000">
            <w:pPr>
              <w:keepNext/>
              <w:keepLines/>
              <w:spacing w:after="0" w:line="240" w:lineRule="auto"/>
            </w:pPr>
            <w:r>
              <w:rPr>
                <w:sz w:val="18"/>
              </w:rPr>
              <w:t>0942</w:t>
            </w:r>
          </w:p>
        </w:tc>
        <w:tc>
          <w:tcPr>
            <w:tcW w:w="3180" w:type="dxa"/>
            <w:tcMar>
              <w:top w:w="0" w:type="dxa"/>
              <w:bottom w:w="0" w:type="dxa"/>
            </w:tcMar>
            <w:vAlign w:val="center"/>
          </w:tcPr>
          <w:p w14:paraId="17A5C3D8" w14:textId="77777777" w:rsidR="00105561" w:rsidRDefault="00000000">
            <w:pPr>
              <w:keepNext/>
              <w:keepLines/>
              <w:spacing w:after="0" w:line="240" w:lineRule="auto"/>
            </w:pPr>
            <w:r>
              <w:rPr>
                <w:sz w:val="18"/>
              </w:rPr>
              <w:t>Drugi stupanj visoke naobrazbe</w:t>
            </w:r>
          </w:p>
        </w:tc>
        <w:tc>
          <w:tcPr>
            <w:tcW w:w="700" w:type="dxa"/>
            <w:tcMar>
              <w:top w:w="0" w:type="dxa"/>
              <w:bottom w:w="0" w:type="dxa"/>
            </w:tcMar>
            <w:vAlign w:val="center"/>
          </w:tcPr>
          <w:p w14:paraId="4D56FD06" w14:textId="77777777" w:rsidR="00105561" w:rsidRDefault="00000000">
            <w:pPr>
              <w:keepNext/>
              <w:keepLines/>
              <w:spacing w:after="0" w:line="240" w:lineRule="auto"/>
            </w:pPr>
            <w:r>
              <w:rPr>
                <w:sz w:val="18"/>
              </w:rPr>
              <w:t>0942</w:t>
            </w:r>
          </w:p>
        </w:tc>
        <w:tc>
          <w:tcPr>
            <w:tcW w:w="1860" w:type="dxa"/>
            <w:tcMar>
              <w:top w:w="0" w:type="dxa"/>
              <w:bottom w:w="0" w:type="dxa"/>
            </w:tcMar>
            <w:vAlign w:val="center"/>
          </w:tcPr>
          <w:p w14:paraId="1D35BAEE" w14:textId="77777777" w:rsidR="00105561" w:rsidRDefault="00000000">
            <w:pPr>
              <w:keepNext/>
              <w:keepLines/>
              <w:spacing w:after="0" w:line="240" w:lineRule="auto"/>
              <w:jc w:val="right"/>
            </w:pPr>
            <w:r>
              <w:rPr>
                <w:sz w:val="18"/>
              </w:rPr>
              <w:t>7.092.841,15</w:t>
            </w:r>
          </w:p>
        </w:tc>
        <w:tc>
          <w:tcPr>
            <w:tcW w:w="1860" w:type="dxa"/>
            <w:tcMar>
              <w:top w:w="0" w:type="dxa"/>
              <w:bottom w:w="0" w:type="dxa"/>
            </w:tcMar>
            <w:vAlign w:val="center"/>
          </w:tcPr>
          <w:p w14:paraId="3150F795" w14:textId="77777777" w:rsidR="00105561" w:rsidRDefault="00000000">
            <w:pPr>
              <w:keepNext/>
              <w:keepLines/>
              <w:spacing w:after="0" w:line="240" w:lineRule="auto"/>
              <w:jc w:val="right"/>
            </w:pPr>
            <w:r>
              <w:rPr>
                <w:sz w:val="18"/>
              </w:rPr>
              <w:t>8.489.145,79</w:t>
            </w:r>
          </w:p>
        </w:tc>
        <w:tc>
          <w:tcPr>
            <w:tcW w:w="700" w:type="dxa"/>
            <w:tcMar>
              <w:top w:w="0" w:type="dxa"/>
              <w:bottom w:w="0" w:type="dxa"/>
            </w:tcMar>
            <w:vAlign w:val="center"/>
          </w:tcPr>
          <w:p w14:paraId="0A36CEAC" w14:textId="77777777" w:rsidR="00105561" w:rsidRDefault="00000000">
            <w:pPr>
              <w:keepNext/>
              <w:keepLines/>
              <w:spacing w:after="0" w:line="240" w:lineRule="auto"/>
              <w:jc w:val="right"/>
            </w:pPr>
            <w:r>
              <w:rPr>
                <w:sz w:val="18"/>
              </w:rPr>
              <w:t>119,7</w:t>
            </w:r>
          </w:p>
        </w:tc>
      </w:tr>
    </w:tbl>
    <w:p w14:paraId="5B6D5FF8" w14:textId="77777777" w:rsidR="00105561" w:rsidRDefault="00105561">
      <w:pPr>
        <w:spacing w:after="0"/>
      </w:pPr>
    </w:p>
    <w:p w14:paraId="0E07916D" w14:textId="77777777" w:rsidR="00105561" w:rsidRDefault="00000000">
      <w:pPr>
        <w:jc w:val="both"/>
      </w:pPr>
      <w:r>
        <w:t>Rashodi poslovanja i rashodi za nabavu nefinancijske imovine funkcijski se razvrstavaju pod Rashodi za obrazovanje drugog stupnja u iznosu od 8.489.145,79 eura.</w:t>
      </w:r>
    </w:p>
    <w:p w14:paraId="5362BE64" w14:textId="77777777" w:rsidR="00105561" w:rsidRDefault="00105561"/>
    <w:p w14:paraId="0E2EDA39" w14:textId="77777777" w:rsidR="00105561" w:rsidRDefault="00000000">
      <w:pPr>
        <w:keepNext/>
        <w:spacing w:line="240" w:lineRule="auto"/>
        <w:jc w:val="center"/>
      </w:pPr>
      <w:r>
        <w:rPr>
          <w:b/>
          <w:sz w:val="28"/>
        </w:rPr>
        <w:t>Promjene u vrijednosti i obujmu imovine i obveza</w:t>
      </w:r>
    </w:p>
    <w:p w14:paraId="367672A8" w14:textId="77777777" w:rsidR="00105561" w:rsidRDefault="00000000">
      <w:pPr>
        <w:keepNext/>
        <w:spacing w:line="240" w:lineRule="auto"/>
        <w:jc w:val="center"/>
      </w:pPr>
      <w:r>
        <w:rPr>
          <w:sz w:val="28"/>
        </w:rPr>
        <w:t>Bilješka 70.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05561" w14:paraId="370CDB7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919687A" w14:textId="77777777" w:rsidR="00105561"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EC9FB2B" w14:textId="77777777" w:rsidR="00105561"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5B57B5D" w14:textId="77777777" w:rsidR="00105561"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E4A50FD" w14:textId="77777777" w:rsidR="00105561" w:rsidRDefault="00000000">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14:paraId="2411C836" w14:textId="77777777" w:rsidR="00105561" w:rsidRDefault="00000000">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14:paraId="593A9256" w14:textId="77777777" w:rsidR="00105561" w:rsidRDefault="00000000">
            <w:pPr>
              <w:keepNext/>
              <w:keepLines/>
              <w:spacing w:after="0" w:line="240" w:lineRule="auto"/>
              <w:jc w:val="center"/>
            </w:pPr>
            <w:r>
              <w:rPr>
                <w:b/>
                <w:sz w:val="18"/>
              </w:rPr>
              <w:t>Indeks (%)</w:t>
            </w:r>
          </w:p>
        </w:tc>
      </w:tr>
      <w:tr w:rsidR="00105561" w14:paraId="48A4BA3E" w14:textId="77777777">
        <w:tblPrEx>
          <w:tblCellMar>
            <w:top w:w="0" w:type="dxa"/>
            <w:bottom w:w="0" w:type="dxa"/>
          </w:tblCellMar>
        </w:tblPrEx>
        <w:trPr>
          <w:cantSplit/>
          <w:trHeight w:val="560"/>
        </w:trPr>
        <w:tc>
          <w:tcPr>
            <w:tcW w:w="700" w:type="dxa"/>
            <w:tcMar>
              <w:top w:w="0" w:type="dxa"/>
              <w:bottom w:w="0" w:type="dxa"/>
            </w:tcMar>
            <w:vAlign w:val="center"/>
          </w:tcPr>
          <w:p w14:paraId="034C1F21" w14:textId="77777777" w:rsidR="00105561" w:rsidRDefault="00105561">
            <w:pPr>
              <w:keepNext/>
              <w:keepLines/>
              <w:spacing w:after="0" w:line="240" w:lineRule="auto"/>
            </w:pPr>
          </w:p>
        </w:tc>
        <w:tc>
          <w:tcPr>
            <w:tcW w:w="3180" w:type="dxa"/>
            <w:tcMar>
              <w:top w:w="0" w:type="dxa"/>
              <w:bottom w:w="0" w:type="dxa"/>
            </w:tcMar>
            <w:vAlign w:val="center"/>
          </w:tcPr>
          <w:p w14:paraId="1A52DFA0" w14:textId="77777777" w:rsidR="00105561" w:rsidRDefault="00000000">
            <w:pPr>
              <w:keepNext/>
              <w:keepLines/>
              <w:spacing w:after="0" w:line="240" w:lineRule="auto"/>
            </w:pPr>
            <w:r>
              <w:rPr>
                <w:sz w:val="18"/>
              </w:rPr>
              <w:t>Proizvedena dugotrajna imovina</w:t>
            </w:r>
          </w:p>
        </w:tc>
        <w:tc>
          <w:tcPr>
            <w:tcW w:w="700" w:type="dxa"/>
            <w:tcMar>
              <w:top w:w="0" w:type="dxa"/>
              <w:bottom w:w="0" w:type="dxa"/>
            </w:tcMar>
            <w:vAlign w:val="center"/>
          </w:tcPr>
          <w:p w14:paraId="7859BE29" w14:textId="77777777" w:rsidR="00105561" w:rsidRDefault="00000000">
            <w:pPr>
              <w:keepNext/>
              <w:keepLines/>
              <w:spacing w:after="0" w:line="240" w:lineRule="auto"/>
            </w:pPr>
            <w:r>
              <w:rPr>
                <w:sz w:val="18"/>
              </w:rPr>
              <w:t>P018</w:t>
            </w:r>
          </w:p>
        </w:tc>
        <w:tc>
          <w:tcPr>
            <w:tcW w:w="1860" w:type="dxa"/>
            <w:tcMar>
              <w:top w:w="0" w:type="dxa"/>
              <w:bottom w:w="0" w:type="dxa"/>
            </w:tcMar>
            <w:vAlign w:val="center"/>
          </w:tcPr>
          <w:p w14:paraId="25E13537" w14:textId="77777777" w:rsidR="00105561" w:rsidRDefault="00000000">
            <w:pPr>
              <w:keepNext/>
              <w:keepLines/>
              <w:spacing w:after="0" w:line="240" w:lineRule="auto"/>
              <w:jc w:val="right"/>
            </w:pPr>
            <w:r>
              <w:rPr>
                <w:sz w:val="18"/>
              </w:rPr>
              <w:t>2.070,01</w:t>
            </w:r>
          </w:p>
        </w:tc>
        <w:tc>
          <w:tcPr>
            <w:tcW w:w="1860" w:type="dxa"/>
            <w:tcMar>
              <w:top w:w="0" w:type="dxa"/>
              <w:bottom w:w="0" w:type="dxa"/>
            </w:tcMar>
            <w:vAlign w:val="center"/>
          </w:tcPr>
          <w:p w14:paraId="4BC33E72" w14:textId="77777777" w:rsidR="00105561" w:rsidRDefault="00000000">
            <w:pPr>
              <w:keepNext/>
              <w:keepLines/>
              <w:spacing w:after="0" w:line="240" w:lineRule="auto"/>
              <w:jc w:val="right"/>
            </w:pPr>
            <w:r>
              <w:rPr>
                <w:sz w:val="18"/>
              </w:rPr>
              <w:t>0,00</w:t>
            </w:r>
          </w:p>
        </w:tc>
        <w:tc>
          <w:tcPr>
            <w:tcW w:w="700" w:type="dxa"/>
            <w:tcMar>
              <w:top w:w="0" w:type="dxa"/>
              <w:bottom w:w="0" w:type="dxa"/>
            </w:tcMar>
            <w:vAlign w:val="center"/>
          </w:tcPr>
          <w:p w14:paraId="1C3F6F7C" w14:textId="77777777" w:rsidR="00105561" w:rsidRDefault="00000000">
            <w:pPr>
              <w:keepNext/>
              <w:keepLines/>
              <w:spacing w:after="0" w:line="240" w:lineRule="auto"/>
              <w:jc w:val="right"/>
            </w:pPr>
            <w:r>
              <w:rPr>
                <w:sz w:val="18"/>
              </w:rPr>
              <w:t>0</w:t>
            </w:r>
          </w:p>
        </w:tc>
      </w:tr>
    </w:tbl>
    <w:p w14:paraId="7289C053" w14:textId="77777777" w:rsidR="00105561" w:rsidRDefault="00105561">
      <w:pPr>
        <w:spacing w:after="0"/>
      </w:pPr>
    </w:p>
    <w:p w14:paraId="29A42E42" w14:textId="77777777" w:rsidR="00105561" w:rsidRDefault="00000000">
      <w:r>
        <w:t>Povećanje proizvedene dugotrajne imovine odnosi se na darovanu knjižnu građu Knjižnici od proračunskih korisnika u iznosu od 2.070,01 eura. </w:t>
      </w:r>
    </w:p>
    <w:p w14:paraId="1A8F686E" w14:textId="77777777" w:rsidR="00105561" w:rsidRDefault="00000000">
      <w:pPr>
        <w:jc w:val="both"/>
      </w:pPr>
      <w:r>
        <w:t> </w:t>
      </w:r>
    </w:p>
    <w:p w14:paraId="0AA5FE42" w14:textId="77777777" w:rsidR="00105561" w:rsidRDefault="00105561"/>
    <w:p w14:paraId="1D17E998" w14:textId="77777777" w:rsidR="00105561" w:rsidRDefault="00000000">
      <w:pPr>
        <w:keepNext/>
        <w:spacing w:line="240" w:lineRule="auto"/>
        <w:jc w:val="center"/>
      </w:pPr>
      <w:r>
        <w:rPr>
          <w:b/>
          <w:sz w:val="28"/>
        </w:rPr>
        <w:lastRenderedPageBreak/>
        <w:t>Izvještaj o obvezama</w:t>
      </w:r>
    </w:p>
    <w:p w14:paraId="396927DD" w14:textId="77777777" w:rsidR="00105561" w:rsidRDefault="00000000">
      <w:pPr>
        <w:keepNext/>
        <w:spacing w:line="240" w:lineRule="auto"/>
        <w:jc w:val="center"/>
      </w:pPr>
      <w:r>
        <w:rPr>
          <w:sz w:val="28"/>
        </w:rPr>
        <w:t>Bilješka 71.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105561" w14:paraId="6827917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22B133E" w14:textId="77777777" w:rsidR="00105561"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98DEFB7" w14:textId="77777777" w:rsidR="00105561"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532102D" w14:textId="77777777" w:rsidR="00105561"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CA3803E" w14:textId="77777777" w:rsidR="00105561"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477B8198" w14:textId="77777777" w:rsidR="00105561" w:rsidRDefault="00000000">
            <w:pPr>
              <w:keepNext/>
              <w:keepLines/>
              <w:spacing w:after="0" w:line="240" w:lineRule="auto"/>
              <w:jc w:val="center"/>
            </w:pPr>
            <w:r>
              <w:rPr>
                <w:b/>
                <w:sz w:val="18"/>
              </w:rPr>
              <w:t>Indeks (%)</w:t>
            </w:r>
          </w:p>
        </w:tc>
      </w:tr>
      <w:tr w:rsidR="00105561" w14:paraId="65E3EFCA" w14:textId="77777777">
        <w:tblPrEx>
          <w:tblCellMar>
            <w:top w:w="0" w:type="dxa"/>
            <w:bottom w:w="0" w:type="dxa"/>
          </w:tblCellMar>
        </w:tblPrEx>
        <w:trPr>
          <w:cantSplit/>
          <w:trHeight w:val="560"/>
        </w:trPr>
        <w:tc>
          <w:tcPr>
            <w:tcW w:w="700" w:type="dxa"/>
            <w:tcMar>
              <w:top w:w="0" w:type="dxa"/>
              <w:bottom w:w="0" w:type="dxa"/>
            </w:tcMar>
            <w:vAlign w:val="center"/>
          </w:tcPr>
          <w:p w14:paraId="510455A0" w14:textId="77777777" w:rsidR="00105561" w:rsidRDefault="00105561">
            <w:pPr>
              <w:keepNext/>
              <w:keepLines/>
              <w:spacing w:after="0" w:line="240" w:lineRule="auto"/>
            </w:pPr>
          </w:p>
        </w:tc>
        <w:tc>
          <w:tcPr>
            <w:tcW w:w="3180" w:type="dxa"/>
            <w:tcMar>
              <w:top w:w="0" w:type="dxa"/>
              <w:bottom w:w="0" w:type="dxa"/>
            </w:tcMar>
            <w:vAlign w:val="center"/>
          </w:tcPr>
          <w:p w14:paraId="2E55BB56" w14:textId="77777777" w:rsidR="00105561" w:rsidRDefault="00000000">
            <w:pPr>
              <w:keepNext/>
              <w:keepLines/>
              <w:spacing w:after="0" w:line="240" w:lineRule="auto"/>
            </w:pPr>
            <w:r>
              <w:rPr>
                <w:sz w:val="18"/>
              </w:rPr>
              <w:t>Stanje dospjelih obveza na kraju izvještajnog razdoblja (šifre V008+D23+D24 + 'D dio 25,26' + D27)</w:t>
            </w:r>
          </w:p>
        </w:tc>
        <w:tc>
          <w:tcPr>
            <w:tcW w:w="700" w:type="dxa"/>
            <w:tcMar>
              <w:top w:w="0" w:type="dxa"/>
              <w:bottom w:w="0" w:type="dxa"/>
            </w:tcMar>
            <w:vAlign w:val="center"/>
          </w:tcPr>
          <w:p w14:paraId="2A008E69" w14:textId="77777777" w:rsidR="00105561" w:rsidRDefault="00000000">
            <w:pPr>
              <w:keepNext/>
              <w:keepLines/>
              <w:spacing w:after="0" w:line="240" w:lineRule="auto"/>
            </w:pPr>
            <w:r>
              <w:rPr>
                <w:sz w:val="18"/>
              </w:rPr>
              <w:t>V007</w:t>
            </w:r>
          </w:p>
        </w:tc>
        <w:tc>
          <w:tcPr>
            <w:tcW w:w="1860" w:type="dxa"/>
            <w:tcMar>
              <w:top w:w="0" w:type="dxa"/>
              <w:bottom w:w="0" w:type="dxa"/>
            </w:tcMar>
            <w:vAlign w:val="center"/>
          </w:tcPr>
          <w:p w14:paraId="72642683" w14:textId="77777777" w:rsidR="00105561" w:rsidRDefault="00000000">
            <w:pPr>
              <w:keepNext/>
              <w:keepLines/>
              <w:spacing w:after="0" w:line="240" w:lineRule="auto"/>
              <w:jc w:val="right"/>
            </w:pPr>
            <w:r>
              <w:rPr>
                <w:sz w:val="18"/>
              </w:rPr>
              <w:t>1.239,88</w:t>
            </w:r>
          </w:p>
        </w:tc>
        <w:tc>
          <w:tcPr>
            <w:tcW w:w="700" w:type="dxa"/>
            <w:tcMar>
              <w:top w:w="0" w:type="dxa"/>
              <w:bottom w:w="0" w:type="dxa"/>
            </w:tcMar>
            <w:vAlign w:val="center"/>
          </w:tcPr>
          <w:p w14:paraId="07265DAA" w14:textId="77777777" w:rsidR="00105561" w:rsidRDefault="00000000">
            <w:pPr>
              <w:keepNext/>
              <w:keepLines/>
              <w:spacing w:after="0" w:line="240" w:lineRule="auto"/>
              <w:jc w:val="right"/>
            </w:pPr>
            <w:r>
              <w:rPr>
                <w:sz w:val="18"/>
              </w:rPr>
              <w:t>-</w:t>
            </w:r>
          </w:p>
        </w:tc>
      </w:tr>
    </w:tbl>
    <w:p w14:paraId="7472F896" w14:textId="77777777" w:rsidR="00105561" w:rsidRDefault="00105561">
      <w:pPr>
        <w:spacing w:after="0"/>
      </w:pPr>
    </w:p>
    <w:p w14:paraId="79B79B62" w14:textId="77777777" w:rsidR="00105561" w:rsidRDefault="00000000">
      <w:r>
        <w:t>Stanje dospjelih obveza na kraju izvještajnog razdoblja iznosi 1.239,88 eura i odnosi se na račune za materijalne rashode koji su pristigli zadnjih dana 2025. godine, s kratkim rokom dospijeća u istom mjesecu, a koji su plaćeni u siječnju 2026. </w:t>
      </w:r>
    </w:p>
    <w:p w14:paraId="13D0F969" w14:textId="77777777" w:rsidR="00105561" w:rsidRDefault="00000000">
      <w:r>
        <w:t> </w:t>
      </w:r>
    </w:p>
    <w:p w14:paraId="52FCFFE5" w14:textId="77777777" w:rsidR="00105561" w:rsidRDefault="00105561"/>
    <w:p w14:paraId="4EF1CA5C" w14:textId="77777777" w:rsidR="00105561" w:rsidRDefault="00000000">
      <w:pPr>
        <w:keepNext/>
        <w:spacing w:line="240" w:lineRule="auto"/>
        <w:jc w:val="center"/>
      </w:pPr>
      <w:r>
        <w:rPr>
          <w:sz w:val="28"/>
        </w:rPr>
        <w:t>Bilješka 72.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105561" w14:paraId="3405DF7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CED00EB" w14:textId="77777777" w:rsidR="00105561"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B48F484" w14:textId="77777777" w:rsidR="00105561"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8D927D2" w14:textId="77777777" w:rsidR="00105561"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DD98227" w14:textId="77777777" w:rsidR="00105561"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3C62C3FF" w14:textId="77777777" w:rsidR="00105561" w:rsidRDefault="00000000">
            <w:pPr>
              <w:keepNext/>
              <w:keepLines/>
              <w:spacing w:after="0" w:line="240" w:lineRule="auto"/>
              <w:jc w:val="center"/>
            </w:pPr>
            <w:r>
              <w:rPr>
                <w:b/>
                <w:sz w:val="18"/>
              </w:rPr>
              <w:t>Indeks (%)</w:t>
            </w:r>
          </w:p>
        </w:tc>
      </w:tr>
      <w:tr w:rsidR="00105561" w14:paraId="152F72A3" w14:textId="77777777">
        <w:tblPrEx>
          <w:tblCellMar>
            <w:top w:w="0" w:type="dxa"/>
            <w:bottom w:w="0" w:type="dxa"/>
          </w:tblCellMar>
        </w:tblPrEx>
        <w:trPr>
          <w:cantSplit/>
          <w:trHeight w:val="560"/>
        </w:trPr>
        <w:tc>
          <w:tcPr>
            <w:tcW w:w="700" w:type="dxa"/>
            <w:tcMar>
              <w:top w:w="0" w:type="dxa"/>
              <w:bottom w:w="0" w:type="dxa"/>
            </w:tcMar>
            <w:vAlign w:val="center"/>
          </w:tcPr>
          <w:p w14:paraId="605A72D4" w14:textId="77777777" w:rsidR="00105561" w:rsidRDefault="00105561">
            <w:pPr>
              <w:keepNext/>
              <w:keepLines/>
              <w:spacing w:after="0" w:line="240" w:lineRule="auto"/>
            </w:pPr>
          </w:p>
        </w:tc>
        <w:tc>
          <w:tcPr>
            <w:tcW w:w="3180" w:type="dxa"/>
            <w:tcMar>
              <w:top w:w="0" w:type="dxa"/>
              <w:bottom w:w="0" w:type="dxa"/>
            </w:tcMar>
            <w:vAlign w:val="center"/>
          </w:tcPr>
          <w:p w14:paraId="08F41B5E" w14:textId="77777777" w:rsidR="00105561" w:rsidRDefault="00000000">
            <w:pPr>
              <w:keepNext/>
              <w:keepLines/>
              <w:spacing w:after="0" w:line="240" w:lineRule="auto"/>
            </w:pPr>
            <w:r>
              <w:rPr>
                <w:sz w:val="18"/>
              </w:rPr>
              <w:t>Stanje nedospjelih obveza na kraju izvještajnog razdoblja (šifre V010 + ND23 + ND24 + 'ND dio 25,26' + ND27)</w:t>
            </w:r>
          </w:p>
        </w:tc>
        <w:tc>
          <w:tcPr>
            <w:tcW w:w="700" w:type="dxa"/>
            <w:tcMar>
              <w:top w:w="0" w:type="dxa"/>
              <w:bottom w:w="0" w:type="dxa"/>
            </w:tcMar>
            <w:vAlign w:val="center"/>
          </w:tcPr>
          <w:p w14:paraId="17CA8B4A" w14:textId="77777777" w:rsidR="00105561" w:rsidRDefault="00000000">
            <w:pPr>
              <w:keepNext/>
              <w:keepLines/>
              <w:spacing w:after="0" w:line="240" w:lineRule="auto"/>
            </w:pPr>
            <w:r>
              <w:rPr>
                <w:sz w:val="18"/>
              </w:rPr>
              <w:t>V009</w:t>
            </w:r>
          </w:p>
        </w:tc>
        <w:tc>
          <w:tcPr>
            <w:tcW w:w="1860" w:type="dxa"/>
            <w:tcMar>
              <w:top w:w="0" w:type="dxa"/>
              <w:bottom w:w="0" w:type="dxa"/>
            </w:tcMar>
            <w:vAlign w:val="center"/>
          </w:tcPr>
          <w:p w14:paraId="504E5AD1" w14:textId="77777777" w:rsidR="00105561" w:rsidRDefault="00000000">
            <w:pPr>
              <w:keepNext/>
              <w:keepLines/>
              <w:spacing w:after="0" w:line="240" w:lineRule="auto"/>
              <w:jc w:val="right"/>
            </w:pPr>
            <w:r>
              <w:rPr>
                <w:sz w:val="18"/>
              </w:rPr>
              <w:t>613.820,53</w:t>
            </w:r>
          </w:p>
        </w:tc>
        <w:tc>
          <w:tcPr>
            <w:tcW w:w="700" w:type="dxa"/>
            <w:tcMar>
              <w:top w:w="0" w:type="dxa"/>
              <w:bottom w:w="0" w:type="dxa"/>
            </w:tcMar>
            <w:vAlign w:val="center"/>
          </w:tcPr>
          <w:p w14:paraId="68FEE1F5" w14:textId="77777777" w:rsidR="00105561" w:rsidRDefault="00000000">
            <w:pPr>
              <w:keepNext/>
              <w:keepLines/>
              <w:spacing w:after="0" w:line="240" w:lineRule="auto"/>
              <w:jc w:val="right"/>
            </w:pPr>
            <w:r>
              <w:rPr>
                <w:sz w:val="18"/>
              </w:rPr>
              <w:t>-</w:t>
            </w:r>
          </w:p>
        </w:tc>
      </w:tr>
    </w:tbl>
    <w:p w14:paraId="584D89A4" w14:textId="77777777" w:rsidR="00105561" w:rsidRDefault="00105561">
      <w:pPr>
        <w:spacing w:after="0"/>
      </w:pPr>
    </w:p>
    <w:p w14:paraId="31A63BC9" w14:textId="77777777" w:rsidR="00105561" w:rsidRDefault="00000000">
      <w:r>
        <w:t>Nedospjele obveze u iznosu od 613.820,53 eura  odnose se na plaću za prosinac isplaćenu u siječnju 2026. i materijalne rashode čiji je rok dospijeća u siječnju 2026.  </w:t>
      </w:r>
    </w:p>
    <w:p w14:paraId="51505460" w14:textId="77777777" w:rsidR="00105561" w:rsidRDefault="00105561"/>
    <w:p w14:paraId="11C1D639" w14:textId="77777777" w:rsidR="00105561" w:rsidRDefault="00000000">
      <w:pPr>
        <w:keepNext/>
        <w:spacing w:line="240" w:lineRule="auto"/>
        <w:jc w:val="center"/>
      </w:pPr>
      <w:r>
        <w:rPr>
          <w:sz w:val="28"/>
        </w:rPr>
        <w:t>Bilješka 73.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105561" w14:paraId="43A9F67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443F909" w14:textId="77777777" w:rsidR="00105561"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EB5AE2D" w14:textId="77777777" w:rsidR="00105561"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AE7E15F" w14:textId="77777777" w:rsidR="00105561"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CBDB801" w14:textId="77777777" w:rsidR="00105561"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3548C492" w14:textId="77777777" w:rsidR="00105561" w:rsidRDefault="00000000">
            <w:pPr>
              <w:keepNext/>
              <w:keepLines/>
              <w:spacing w:after="0" w:line="240" w:lineRule="auto"/>
              <w:jc w:val="center"/>
            </w:pPr>
            <w:r>
              <w:rPr>
                <w:b/>
                <w:sz w:val="18"/>
              </w:rPr>
              <w:t>Indeks (%)</w:t>
            </w:r>
          </w:p>
        </w:tc>
      </w:tr>
      <w:tr w:rsidR="00105561" w14:paraId="4F96FBD1" w14:textId="77777777">
        <w:tblPrEx>
          <w:tblCellMar>
            <w:top w:w="0" w:type="dxa"/>
            <w:bottom w:w="0" w:type="dxa"/>
          </w:tblCellMar>
        </w:tblPrEx>
        <w:trPr>
          <w:cantSplit/>
          <w:trHeight w:val="560"/>
        </w:trPr>
        <w:tc>
          <w:tcPr>
            <w:tcW w:w="700" w:type="dxa"/>
            <w:tcMar>
              <w:top w:w="0" w:type="dxa"/>
              <w:bottom w:w="0" w:type="dxa"/>
            </w:tcMar>
            <w:vAlign w:val="center"/>
          </w:tcPr>
          <w:p w14:paraId="6A605259" w14:textId="77777777" w:rsidR="00105561" w:rsidRDefault="00105561">
            <w:pPr>
              <w:keepNext/>
              <w:keepLines/>
              <w:spacing w:after="0" w:line="240" w:lineRule="auto"/>
            </w:pPr>
          </w:p>
        </w:tc>
        <w:tc>
          <w:tcPr>
            <w:tcW w:w="3180" w:type="dxa"/>
            <w:tcMar>
              <w:top w:w="0" w:type="dxa"/>
              <w:bottom w:w="0" w:type="dxa"/>
            </w:tcMar>
            <w:vAlign w:val="center"/>
          </w:tcPr>
          <w:p w14:paraId="0C43FF7F" w14:textId="77777777" w:rsidR="00105561" w:rsidRDefault="00000000">
            <w:pPr>
              <w:keepNext/>
              <w:keepLines/>
              <w:spacing w:after="0" w:line="240" w:lineRule="auto"/>
            </w:pPr>
            <w:r>
              <w:rPr>
                <w:sz w:val="18"/>
              </w:rPr>
              <w:t>Međusobne obveze subjekata općeg proračuna</w:t>
            </w:r>
          </w:p>
        </w:tc>
        <w:tc>
          <w:tcPr>
            <w:tcW w:w="700" w:type="dxa"/>
            <w:tcMar>
              <w:top w:w="0" w:type="dxa"/>
              <w:bottom w:w="0" w:type="dxa"/>
            </w:tcMar>
            <w:vAlign w:val="center"/>
          </w:tcPr>
          <w:p w14:paraId="27AD527A" w14:textId="77777777" w:rsidR="00105561" w:rsidRDefault="00000000">
            <w:pPr>
              <w:keepNext/>
              <w:keepLines/>
              <w:spacing w:after="0" w:line="240" w:lineRule="auto"/>
            </w:pPr>
            <w:r>
              <w:rPr>
                <w:sz w:val="18"/>
              </w:rPr>
              <w:t>V010</w:t>
            </w:r>
          </w:p>
        </w:tc>
        <w:tc>
          <w:tcPr>
            <w:tcW w:w="1860" w:type="dxa"/>
            <w:tcMar>
              <w:top w:w="0" w:type="dxa"/>
              <w:bottom w:w="0" w:type="dxa"/>
            </w:tcMar>
            <w:vAlign w:val="center"/>
          </w:tcPr>
          <w:p w14:paraId="3F41D3A8" w14:textId="77777777" w:rsidR="00105561" w:rsidRDefault="00000000">
            <w:pPr>
              <w:keepNext/>
              <w:keepLines/>
              <w:spacing w:after="0" w:line="240" w:lineRule="auto"/>
              <w:jc w:val="right"/>
            </w:pPr>
            <w:r>
              <w:rPr>
                <w:sz w:val="18"/>
              </w:rPr>
              <w:t>46.912,71</w:t>
            </w:r>
          </w:p>
        </w:tc>
        <w:tc>
          <w:tcPr>
            <w:tcW w:w="700" w:type="dxa"/>
            <w:tcMar>
              <w:top w:w="0" w:type="dxa"/>
              <w:bottom w:w="0" w:type="dxa"/>
            </w:tcMar>
            <w:vAlign w:val="center"/>
          </w:tcPr>
          <w:p w14:paraId="5B61BCDB" w14:textId="77777777" w:rsidR="00105561" w:rsidRDefault="00000000">
            <w:pPr>
              <w:keepNext/>
              <w:keepLines/>
              <w:spacing w:after="0" w:line="240" w:lineRule="auto"/>
              <w:jc w:val="right"/>
            </w:pPr>
            <w:r>
              <w:rPr>
                <w:sz w:val="18"/>
              </w:rPr>
              <w:t>-</w:t>
            </w:r>
          </w:p>
        </w:tc>
      </w:tr>
    </w:tbl>
    <w:p w14:paraId="6E476E18" w14:textId="77777777" w:rsidR="00105561" w:rsidRDefault="00105561">
      <w:pPr>
        <w:spacing w:after="0"/>
      </w:pPr>
    </w:p>
    <w:p w14:paraId="45578182" w14:textId="77777777" w:rsidR="00105561" w:rsidRDefault="00000000">
      <w:pPr>
        <w:jc w:val="both"/>
      </w:pPr>
      <w:r>
        <w:t>Međusobne obveze subjekata unutar općeg proračuna odnose se na nedospjele obveze prema Lučkoj upravi Rijeka za zakup imovine, Sveučilišnoj knjižnici Rijeka za usluge održavanja računalnog programa za Knjižnicu, te obveze prema Sveučilištu u Rijeci za sredstva upisnina i državnom proračunu za prihode od prodaje stanova. </w:t>
      </w:r>
    </w:p>
    <w:p w14:paraId="49103C8E" w14:textId="77777777" w:rsidR="00105561" w:rsidRDefault="00105561"/>
    <w:p w14:paraId="0EEFF5BF" w14:textId="77777777" w:rsidR="00105561" w:rsidRDefault="00000000">
      <w:pPr>
        <w:keepNext/>
        <w:spacing w:line="240" w:lineRule="auto"/>
        <w:jc w:val="center"/>
      </w:pPr>
      <w:r>
        <w:rPr>
          <w:sz w:val="28"/>
        </w:rPr>
        <w:t>Bilješka 74.</w:t>
      </w:r>
    </w:p>
    <w:p w14:paraId="26B351EB" w14:textId="77777777" w:rsidR="00105561" w:rsidRDefault="00000000">
      <w:pPr>
        <w:spacing w:line="240" w:lineRule="auto"/>
        <w:jc w:val="both"/>
      </w:pPr>
      <w:r>
        <w:rPr>
          <w:b/>
        </w:rPr>
        <w:t>EU izvještaj</w:t>
      </w:r>
    </w:p>
    <w:p w14:paraId="485A5A52" w14:textId="77777777" w:rsidR="00105561" w:rsidRDefault="00000000">
      <w:pPr>
        <w:jc w:val="both"/>
      </w:pPr>
      <w:r>
        <w:t xml:space="preserve">Ukupan iznos ostvarenih prihoda od EU projekata iz programskog razdoblja 2021.-2027.  iznosi 1.363.470,18 eura, dok je na rashode za njihovu implementaciju utrošeno 1.317.947,77 eura. U odnosu na 2024. godinu, došlo je do promjene u evidentiranju primljenih pomoći, koje se sad evidentiraju unutar podskupine 631. Svakako, razlika u ostvarenim sredstvima  u odnosu na prethodno razdoblje najviše je rezultat prihoda  Interreg projekta TransH2 koji </w:t>
      </w:r>
      <w:r>
        <w:lastRenderedPageBreak/>
        <w:t>sadrži i 643.234,47 eura sredstava koji su ujedno evidentirani i kao rashodi, te doznačeni partnerima na projektu. </w:t>
      </w:r>
    </w:p>
    <w:p w14:paraId="4D47CD3C" w14:textId="77777777" w:rsidR="00105561" w:rsidRDefault="00000000">
      <w:pPr>
        <w:jc w:val="both"/>
      </w:pPr>
      <w:r>
        <w:t>List izvor financiranja 510 sadrži Erasmus+ i Horizon projekte na kojima je Fakultet korisnik sredstava, dok su nositelji projekta u inozemstvu. Sredstva su stigla od nositelja projekta iz inozemstva i evidentirana su na podskupini 631- Pomoći od inozemnih vlada.</w:t>
      </w:r>
    </w:p>
    <w:p w14:paraId="569961A5" w14:textId="77777777" w:rsidR="00105561" w:rsidRDefault="00000000">
      <w:pPr>
        <w:jc w:val="both"/>
      </w:pPr>
      <w:r>
        <w:t>List izvor financiranja 563 sadrži projekte Interreg Italija Hrvatska i Interreg EUROMED. Svi projekti imaju upravljačko tijelo u inozemstvu. Na dva projekta Fakultet je istovremeno nositelj i korisnik projekta i sredstva je primio direktno od upravljačkog tijela iz inozemstva. Za te projekte je iskazana izvanbilančna evidencija. Za dva projekta iskazano je stanje potraživanja na dan 31.12.2025. po podnesenim ZNS-ovima, a sredstva se očekuju od partnera iz inozemstva. </w:t>
      </w:r>
    </w:p>
    <w:p w14:paraId="5543D187" w14:textId="77777777" w:rsidR="00105561" w:rsidRDefault="00000000">
      <w:pPr>
        <w:jc w:val="both"/>
      </w:pPr>
      <w:r>
        <w:t>List izvor financiranja 581 sadrži projekt iz NPOO Programa karijera koji financira Hrvatska zaklada znanost. Prihod se evidentirao na 6393, međutim izvor 52 je prema veznim tablicama povezan s izvorom 581, kao i u slučaju projekta financiranja mobilnosti profesora putem stipendije iz NPOO-a od strane HRZZ-a. Projekt  iz Operativnog programa NPOO C3.2.R3-I1.01 za kojeg su sredstva doznačena od MZOM-a i evidentirana na podskupini 671 također je unutar ovog izvora.</w:t>
      </w:r>
    </w:p>
    <w:p w14:paraId="25CA1909" w14:textId="77777777" w:rsidR="00105561" w:rsidRDefault="00105561"/>
    <w:sectPr w:rsidR="0010556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561"/>
    <w:rsid w:val="00105561"/>
    <w:rsid w:val="0015385D"/>
    <w:rsid w:val="002037F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AA3AC"/>
  <w15:docId w15:val="{05688832-87A5-4BA0-AC8B-1BC09063D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hr-HR" w:eastAsia="hr-H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26</Pages>
  <Words>6678</Words>
  <Characters>38070</Characters>
  <Application>Microsoft Office Word</Application>
  <DocSecurity>0</DocSecurity>
  <Lines>317</Lines>
  <Paragraphs>89</Paragraphs>
  <ScaleCrop>false</ScaleCrop>
  <Company/>
  <LinksUpToDate>false</LinksUpToDate>
  <CharactersWithSpaces>44659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Vladimirka Telenta</dc:creator>
  <cp:lastModifiedBy>Vladimirka Telenta</cp:lastModifiedBy>
  <cp:revision>2</cp:revision>
  <dcterms:created xsi:type="dcterms:W3CDTF">2026-02-05T06:59:00Z</dcterms:created>
  <dcterms:modified xsi:type="dcterms:W3CDTF">2026-02-05T06:59:00Z</dcterms:modified>
</cp:coreProperties>
</file>